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</w:r>
    </w:p>
    <w:p>
      <w:pPr>
        <w:pBdr/>
        <w:spacing/>
        <w:ind/>
        <w:jc w:val="center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 xml:space="preserve">Zápis z</w:t>
      </w:r>
      <w:r>
        <w:rPr>
          <w:rFonts w:ascii="Verdana" w:hAnsi="Verdana" w:cstheme="minorHAnsi"/>
          <w:b/>
          <w:sz w:val="24"/>
          <w:szCs w:val="24"/>
        </w:rPr>
        <w:t xml:space="preserve">e 4</w:t>
      </w:r>
      <w:r>
        <w:rPr>
          <w:rFonts w:ascii="Verdana" w:hAnsi="Verdana" w:cstheme="minorHAnsi"/>
          <w:b/>
          <w:sz w:val="24"/>
          <w:szCs w:val="24"/>
        </w:rPr>
        <w:t xml:space="preserve">. zasedání</w:t>
      </w:r>
      <w:r>
        <w:rPr>
          <w:rFonts w:ascii="Verdana" w:hAnsi="Verdana" w:cstheme="minorHAnsi"/>
          <w:b/>
          <w:sz w:val="24"/>
          <w:szCs w:val="24"/>
        </w:rPr>
      </w:r>
      <w:r>
        <w:rPr>
          <w:rFonts w:ascii="Verdana" w:hAnsi="Verdana" w:cstheme="minorHAnsi"/>
          <w:b/>
          <w:sz w:val="24"/>
          <w:szCs w:val="24"/>
        </w:rPr>
      </w:r>
    </w:p>
    <w:p>
      <w:pPr>
        <w:pBdr/>
        <w:spacing/>
        <w:ind/>
        <w:jc w:val="center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 xml:space="preserve">mezirezortní Pracovní skupiny k Sociálnímu klimatickému fondu</w:t>
      </w:r>
      <w:r>
        <w:rPr>
          <w:rFonts w:ascii="Verdana" w:hAnsi="Verdana" w:cstheme="minorHAnsi"/>
          <w:b/>
          <w:sz w:val="24"/>
          <w:szCs w:val="24"/>
        </w:rPr>
      </w:r>
      <w:r>
        <w:rPr>
          <w:rFonts w:ascii="Verdana" w:hAnsi="Verdana" w:cstheme="minorHAnsi"/>
          <w:b/>
          <w:sz w:val="24"/>
          <w:szCs w:val="24"/>
        </w:rPr>
      </w:r>
    </w:p>
    <w:tbl>
      <w:tblPr>
        <w:tblStyle w:val="922"/>
        <w:tblpPr w:horzAnchor="page" w:tblpX="1147" w:vertAnchor="page" w:tblpY="3037" w:leftFromText="141" w:topFromText="0" w:rightFromText="141" w:bottomFromText="0"/>
        <w:tblW w:w="9615" w:type="dxa"/>
        <w:tblBorders/>
        <w:tblLayout w:type="fixed"/>
        <w:tblLook w:val="04A0" w:firstRow="1" w:lastRow="0" w:firstColumn="1" w:lastColumn="0" w:noHBand="0" w:noVBand="1"/>
      </w:tblPr>
      <w:tblGrid>
        <w:gridCol w:w="2125"/>
        <w:gridCol w:w="7490"/>
      </w:tblGrid>
      <w:tr>
        <w:trPr>
          <w:trHeight w:val="4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Datum zasedání: </w:t>
            </w:r>
            <w:r>
              <w:rPr>
                <w:rFonts w:ascii="Verdana" w:hAnsi="Verdana" w:cstheme="minorHAnsi"/>
                <w:sz w:val="20"/>
                <w:szCs w:val="20"/>
              </w:rPr>
            </w:r>
            <w:r>
              <w:rPr>
                <w:rFonts w:ascii="Verdana" w:hAnsi="Verdana" w:cstheme="minorHAnsi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9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19. února 2025</w:t>
            </w:r>
            <w:r>
              <w:rPr>
                <w:rFonts w:ascii="Verdana" w:hAnsi="Verdana" w:cstheme="minorHAnsi"/>
                <w:b/>
                <w:sz w:val="20"/>
                <w:szCs w:val="20"/>
              </w:rPr>
            </w:r>
            <w:r>
              <w:rPr>
                <w:rFonts w:ascii="Verdana" w:hAnsi="Verdana" w:cstheme="minorHAnsi"/>
                <w:b/>
                <w:sz w:val="20"/>
                <w:szCs w:val="20"/>
              </w:rPr>
            </w:r>
          </w:p>
        </w:tc>
      </w:tr>
      <w:tr>
        <w:trPr>
          <w:trHeight w:val="4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Místo:</w:t>
            </w:r>
            <w:r>
              <w:rPr>
                <w:rFonts w:ascii="Verdana" w:hAnsi="Verdana" w:cstheme="minorHAnsi"/>
                <w:sz w:val="20"/>
                <w:szCs w:val="20"/>
              </w:rPr>
            </w:r>
            <w:r>
              <w:rPr>
                <w:rFonts w:ascii="Verdana" w:hAnsi="Verdana" w:cstheme="minorHAnsi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9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hybridně: prezenčně Ministerstvo životního prostředí, online Webex</w:t>
            </w:r>
            <w:r>
              <w:rPr>
                <w:rFonts w:ascii="Verdana" w:hAnsi="Verdana" w:cstheme="minorHAnsi"/>
                <w:sz w:val="20"/>
                <w:szCs w:val="20"/>
              </w:rPr>
            </w:r>
            <w:r>
              <w:rPr>
                <w:rFonts w:ascii="Verdana" w:hAnsi="Verdana" w:cstheme="minorHAnsi"/>
                <w:sz w:val="20"/>
                <w:szCs w:val="20"/>
              </w:rPr>
            </w:r>
          </w:p>
        </w:tc>
      </w:tr>
      <w:tr>
        <w:trPr>
          <w:trHeight w:val="4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Přítomní účastníci:</w:t>
            </w:r>
            <w:r>
              <w:rPr>
                <w:rFonts w:ascii="Verdana" w:hAnsi="Verdana" w:cstheme="minorHAnsi"/>
                <w:sz w:val="20"/>
                <w:szCs w:val="20"/>
              </w:rPr>
            </w:r>
            <w:r>
              <w:rPr>
                <w:rFonts w:ascii="Verdana" w:hAnsi="Verdana" w:cstheme="minorHAnsi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9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Verdana" w:hAnsi="Verdana" w:cstheme="minorHAnsi"/>
                <w:sz w:val="20"/>
                <w:szCs w:val="20"/>
                <w:highlight w:val="none"/>
              </w:rPr>
            </w:pPr>
            <w:r>
              <w:rPr>
                <w:rFonts w:ascii="Verdana" w:hAnsi="Verdana" w:cstheme="minorHAnsi"/>
                <w:i/>
                <w:iCs/>
                <w:sz w:val="20"/>
                <w:szCs w:val="20"/>
              </w:rPr>
              <w:t xml:space="preserve">prezenčně: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Jan Kříž (MŽP), Petr Holub (MŽP), Maggie Škabraha Dok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upilová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(MŽP)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, Karel Voldřich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(MŽP)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, Jaroslav Kepka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(MŽP)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, Petra Alžběta Baslová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(MŽP)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, Lenka Hamplová (MD), Nathalie Marková (MPO), Jakub Hrbek (SFŽP)</w:t>
            </w:r>
            <w:r>
              <w:rPr>
                <w:rFonts w:ascii="Verdana" w:hAnsi="Verdana" w:cstheme="minorHAnsi"/>
                <w:sz w:val="20"/>
                <w:szCs w:val="20"/>
                <w:highlight w:val="none"/>
              </w:rPr>
            </w:r>
            <w:r>
              <w:rPr>
                <w:rFonts w:ascii="Verdana" w:hAnsi="Verdana" w:cstheme="minorHAnsi"/>
                <w:sz w:val="20"/>
                <w:szCs w:val="20"/>
                <w:highlight w:val="none"/>
              </w:rPr>
            </w:r>
          </w:p>
          <w:p>
            <w:pPr>
              <w:pBdr/>
              <w:spacing/>
              <w:ind/>
              <w:jc w:val="left"/>
              <w:rPr>
                <w:rFonts w:ascii="Verdana" w:hAnsi="Verdana" w:cstheme="minorHAnsi"/>
                <w:sz w:val="20"/>
                <w:szCs w:val="20"/>
                <w:highlight w:val="none"/>
              </w:rPr>
            </w:pPr>
            <w:r>
              <w:rPr>
                <w:rFonts w:ascii="Verdana" w:hAnsi="Verdana" w:cstheme="minorHAnsi"/>
                <w:sz w:val="20"/>
                <w:szCs w:val="20"/>
                <w:highlight w:val="none"/>
              </w:rPr>
            </w:r>
            <w:r>
              <w:rPr>
                <w:rFonts w:ascii="Verdana" w:hAnsi="Verdana" w:cstheme="minorHAnsi"/>
                <w:sz w:val="20"/>
                <w:szCs w:val="20"/>
                <w:highlight w:val="none"/>
              </w:rPr>
            </w:r>
            <w:r>
              <w:rPr>
                <w:rFonts w:ascii="Verdana" w:hAnsi="Verdana" w:cstheme="minorHAnsi"/>
                <w:sz w:val="20"/>
                <w:szCs w:val="20"/>
                <w:highlight w:val="none"/>
              </w:rPr>
            </w:r>
          </w:p>
          <w:p>
            <w:pPr>
              <w:pBdr/>
              <w:spacing/>
              <w:ind/>
              <w:jc w:val="left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i/>
                <w:iCs/>
                <w:sz w:val="20"/>
                <w:szCs w:val="20"/>
                <w:highlight w:val="none"/>
              </w:rPr>
              <w:t xml:space="preserve">online:</w:t>
            </w:r>
            <w:r>
              <w:rPr>
                <w:rFonts w:ascii="Verdana" w:hAnsi="Verdana" w:cstheme="minorHAnsi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Jan Brych (MPSV), Beáta Hanousková (MŽP), Alžběta Rychnovská (MŽP)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, Karolína Vítková (EGÚ Brno), Luděk Sosna (MD), Marek Maleňák (MPSV), Martin Šimáček (MMR), Petr Uhlíř (MŽP), Richard Juřík (MŽP), Roman Matoušek (MMR), Tereza Kodetová (MŽP), Vít Sedmidubský (MD)</w:t>
            </w:r>
            <w:r>
              <w:rPr>
                <w:rFonts w:ascii="Verdana" w:hAnsi="Verdana" w:cstheme="minorHAnsi"/>
                <w:sz w:val="20"/>
                <w:szCs w:val="20"/>
              </w:rPr>
            </w:r>
            <w:r>
              <w:rPr>
                <w:rFonts w:ascii="Verdana" w:hAnsi="Verdana" w:cstheme="minorHAnsi"/>
                <w:sz w:val="20"/>
                <w:szCs w:val="20"/>
              </w:rPr>
            </w:r>
          </w:p>
        </w:tc>
      </w:tr>
    </w:tbl>
    <w:p>
      <w:pPr>
        <w:pBdr/>
        <w:spacing w:after="0" w:before="100" w:beforeAutospacing="1" w:line="360" w:lineRule="auto"/>
        <w:ind/>
        <w:rPr>
          <w:rFonts w:ascii="Verdana" w:hAnsi="Verdana" w:eastAsia="Times New Roman" w:cs="Calibri"/>
          <w:b/>
          <w:bCs/>
          <w:sz w:val="20"/>
          <w:lang w:eastAsia="cs-CZ"/>
        </w:rPr>
      </w:pPr>
      <w:r>
        <w:rPr>
          <w:rFonts w:ascii="Verdana" w:hAnsi="Verdana" w:eastAsia="Times New Roman" w:cs="Calibri"/>
          <w:b/>
          <w:bCs/>
          <w:sz w:val="20"/>
          <w:lang w:eastAsia="cs-CZ"/>
        </w:rPr>
        <w:t xml:space="preserve">Program jednání:</w:t>
      </w:r>
      <w:r>
        <w:rPr>
          <w:rFonts w:ascii="Verdana" w:hAnsi="Verdana" w:eastAsia="Times New Roman" w:cs="Calibri"/>
          <w:b/>
          <w:bCs/>
          <w:sz w:val="20"/>
          <w:lang w:eastAsia="cs-CZ"/>
        </w:rPr>
      </w:r>
      <w:r>
        <w:rPr>
          <w:rFonts w:ascii="Verdana" w:hAnsi="Verdana" w:eastAsia="Times New Roman" w:cs="Calibri"/>
          <w:b/>
          <w:bCs/>
          <w:sz w:val="20"/>
          <w:lang w:eastAsia="cs-CZ"/>
        </w:rPr>
      </w:r>
    </w:p>
    <w:p>
      <w:pPr>
        <w:pStyle w:val="923"/>
        <w:numPr>
          <w:ilvl w:val="0"/>
          <w:numId w:val="17"/>
        </w:numPr>
        <w:pBdr/>
        <w:spacing w:after="0"/>
        <w:ind/>
        <w:jc w:val="both"/>
        <w:rPr/>
      </w:pPr>
      <w:r>
        <w:rPr>
          <w:rFonts w:ascii="Verdana" w:hAnsi="Verdana" w:eastAsia="Times New Roman" w:cs="Times New Roman"/>
          <w:sz w:val="20"/>
          <w:lang w:eastAsia="cs-CZ"/>
        </w:rPr>
        <w:t xml:space="preserve">Aktuality v přípravách SKP</w:t>
      </w:r>
      <w:r>
        <w:rPr>
          <w:rFonts w:ascii="Verdana" w:hAnsi="Verdana" w:eastAsia="Times New Roman" w:cs="Times New Roman"/>
          <w:sz w:val="20"/>
          <w:lang w:eastAsia="cs-CZ"/>
        </w:rPr>
      </w:r>
      <w:r/>
    </w:p>
    <w:p>
      <w:pPr>
        <w:pStyle w:val="923"/>
        <w:numPr>
          <w:ilvl w:val="0"/>
          <w:numId w:val="17"/>
        </w:numPr>
        <w:pBdr/>
        <w:spacing w:after="0"/>
        <w:ind/>
        <w:jc w:val="both"/>
        <w:rPr/>
      </w:pPr>
      <w:r>
        <w:rPr>
          <w:rFonts w:ascii="Verdana" w:hAnsi="Verdana" w:eastAsia="Times New Roman" w:cs="Times New Roman"/>
          <w:sz w:val="20"/>
          <w:lang w:eastAsia="cs-CZ"/>
        </w:rPr>
        <w:t xml:space="preserve">Energetická chudoba – definice a navrhované oblasti podpory</w:t>
      </w:r>
      <w:r>
        <w:rPr>
          <w:rFonts w:ascii="Verdana" w:hAnsi="Verdana" w:eastAsia="Times New Roman" w:cs="Times New Roman"/>
          <w:sz w:val="20"/>
          <w:lang w:eastAsia="cs-CZ"/>
        </w:rPr>
      </w:r>
      <w:r/>
    </w:p>
    <w:p>
      <w:pPr>
        <w:pStyle w:val="923"/>
        <w:numPr>
          <w:ilvl w:val="0"/>
          <w:numId w:val="17"/>
        </w:numPr>
        <w:pBdr/>
        <w:spacing w:after="0"/>
        <w:ind/>
        <w:jc w:val="both"/>
        <w:rPr/>
      </w:pPr>
      <w:r>
        <w:rPr>
          <w:rFonts w:ascii="Verdana" w:hAnsi="Verdana" w:eastAsia="Times New Roman" w:cs="Times New Roman"/>
          <w:sz w:val="20"/>
          <w:lang w:eastAsia="cs-CZ"/>
        </w:rPr>
        <w:t xml:space="preserve">Dopravní chudoba – definice a navrhované oblasti podpory</w:t>
      </w:r>
      <w:r>
        <w:rPr>
          <w:rFonts w:ascii="Verdana" w:hAnsi="Verdana" w:eastAsia="Times New Roman" w:cs="Times New Roman"/>
          <w:sz w:val="20"/>
          <w:lang w:eastAsia="cs-CZ"/>
        </w:rPr>
      </w:r>
      <w:r/>
    </w:p>
    <w:p>
      <w:pPr>
        <w:pStyle w:val="923"/>
        <w:numPr>
          <w:ilvl w:val="0"/>
          <w:numId w:val="17"/>
        </w:numPr>
        <w:pBdr/>
        <w:spacing w:after="0"/>
        <w:ind/>
        <w:jc w:val="both"/>
        <w:rPr/>
      </w:pPr>
      <w:r>
        <w:rPr>
          <w:rFonts w:ascii="Verdana" w:hAnsi="Verdana" w:eastAsia="Times New Roman" w:cs="Times New Roman"/>
          <w:sz w:val="20"/>
          <w:lang w:eastAsia="cs-CZ"/>
        </w:rPr>
        <w:t xml:space="preserve">Další kroky a harmonogram finalizace SKP</w:t>
      </w:r>
      <w:r>
        <w:rPr>
          <w:rFonts w:ascii="Verdana" w:hAnsi="Verdana" w:eastAsia="Times New Roman" w:cs="Times New Roman"/>
          <w:sz w:val="20"/>
          <w:lang w:eastAsia="cs-CZ"/>
        </w:rPr>
      </w:r>
      <w:r/>
    </w:p>
    <w:p>
      <w:pPr>
        <w:pStyle w:val="923"/>
        <w:numPr>
          <w:ilvl w:val="0"/>
          <w:numId w:val="17"/>
        </w:numPr>
        <w:pBdr/>
        <w:spacing w:after="0"/>
        <w:ind/>
        <w:jc w:val="both"/>
        <w:rPr>
          <w:rFonts w:ascii="Verdana" w:hAnsi="Verdana" w:eastAsia="Times New Roman" w:cs="Times New Roman"/>
          <w:sz w:val="20"/>
          <w:lang w:eastAsia="cs-CZ"/>
        </w:rPr>
      </w:pPr>
      <w:r>
        <w:rPr>
          <w:rFonts w:ascii="Verdana" w:hAnsi="Verdana" w:eastAsia="Times New Roman" w:cs="Times New Roman"/>
          <w:sz w:val="20"/>
          <w:lang w:eastAsia="cs-CZ"/>
        </w:rPr>
        <w:t xml:space="preserve">Různé</w:t>
      </w:r>
      <w:r>
        <w:rPr>
          <w:rFonts w:ascii="Verdana" w:hAnsi="Verdana" w:eastAsia="Times New Roman" w:cs="Times New Roman"/>
          <w:sz w:val="20"/>
          <w:lang w:eastAsia="cs-CZ"/>
        </w:rPr>
      </w:r>
      <w:r>
        <w:rPr>
          <w:rFonts w:ascii="Verdana" w:hAnsi="Verdana" w:eastAsia="Times New Roman" w:cs="Times New Roman"/>
          <w:sz w:val="20"/>
          <w:lang w:eastAsia="cs-CZ"/>
        </w:rPr>
      </w:r>
    </w:p>
    <w:p>
      <w:pPr>
        <w:pBdr/>
        <w:spacing w:after="113" w:afterAutospacing="0"/>
        <w:ind w:firstLine="708" w:left="0"/>
        <w:jc w:val="both"/>
        <w:rPr>
          <w:rFonts w:ascii="Verdana" w:hAnsi="Verdana" w:eastAsia="Times New Roman" w:cs="Times New Roman"/>
          <w:sz w:val="20"/>
          <w:lang w:eastAsia="cs-CZ"/>
        </w:rPr>
      </w:pPr>
      <w:r>
        <w:rPr>
          <w:rFonts w:ascii="Verdana" w:hAnsi="Verdana" w:eastAsia="Times New Roman" w:cs="Times New Roman"/>
          <w:sz w:val="20"/>
          <w:lang w:eastAsia="cs-CZ"/>
        </w:rPr>
        <w:t xml:space="preserve">Diskuze</w:t>
      </w:r>
      <w:r>
        <w:rPr>
          <w:rFonts w:ascii="Verdana" w:hAnsi="Verdana" w:eastAsia="Times New Roman" w:cs="Times New Roman"/>
          <w:sz w:val="20"/>
          <w:lang w:eastAsia="cs-CZ"/>
        </w:rPr>
      </w:r>
      <w:r>
        <w:rPr>
          <w:rFonts w:ascii="Verdana" w:hAnsi="Verdana" w:eastAsia="Times New Roman" w:cs="Times New Roman"/>
          <w:sz w:val="20"/>
          <w:lang w:eastAsia="cs-CZ"/>
        </w:rPr>
      </w:r>
    </w:p>
    <w:p>
      <w:pPr>
        <w:pBdr/>
        <w:spacing/>
        <w:ind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 w:eastAsia="Times New Roman" w:cs="Times New Roman"/>
          <w:b/>
          <w:bCs/>
          <w:sz w:val="20"/>
          <w:highlight w:val="none"/>
          <w:u w:val="single"/>
          <w:lang w:eastAsia="cs-CZ"/>
        </w:rPr>
      </w:r>
      <w:r>
        <w:rPr>
          <w:rFonts w:ascii="Verdana" w:hAnsi="Verdana"/>
          <w:b/>
          <w:bCs/>
          <w:sz w:val="20"/>
          <w:szCs w:val="20"/>
          <w:u w:val="single"/>
        </w:rPr>
      </w:r>
      <w:r>
        <w:rPr>
          <w:rFonts w:ascii="Verdana" w:hAnsi="Verdana"/>
          <w:b/>
          <w:bCs/>
          <w:sz w:val="20"/>
          <w:szCs w:val="20"/>
          <w:u w:val="single"/>
        </w:rPr>
      </w:r>
    </w:p>
    <w:p>
      <w:pPr>
        <w:pBdr/>
        <w:spacing/>
        <w:ind/>
        <w:jc w:val="both"/>
        <w:rPr>
          <w:rFonts w:ascii="Verdana" w:hAnsi="Verdana" w:eastAsia="Times New Roman" w:cs="Times New Roman"/>
          <w:b/>
          <w:bCs/>
          <w:sz w:val="20"/>
          <w:szCs w:val="20"/>
          <w:highlight w:val="none"/>
          <w:u w:val="single"/>
          <w:lang w:eastAsia="cs-CZ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Bod 1: </w:t>
      </w:r>
      <w:r>
        <w:rPr>
          <w:rFonts w:ascii="Verdana" w:hAnsi="Verdana" w:eastAsia="Times New Roman" w:cs="Times New Roman"/>
          <w:b/>
          <w:bCs/>
          <w:sz w:val="20"/>
          <w:highlight w:val="none"/>
          <w:u w:val="single"/>
          <w:lang w:eastAsia="cs-CZ"/>
        </w:rPr>
        <w:t xml:space="preserve">Aktuality v přípravách SKP</w:t>
      </w:r>
      <w:r>
        <w:rPr>
          <w:rFonts w:ascii="Verdana" w:hAnsi="Verdana" w:eastAsia="Times New Roman" w:cs="Times New Roman"/>
          <w:b/>
          <w:bCs/>
          <w:sz w:val="20"/>
          <w:szCs w:val="20"/>
          <w:highlight w:val="none"/>
          <w:u w:val="single"/>
          <w:lang w:eastAsia="cs-CZ"/>
        </w:rPr>
      </w:r>
      <w:r>
        <w:rPr>
          <w:rFonts w:ascii="Verdana" w:hAnsi="Verdana" w:eastAsia="Times New Roman" w:cs="Times New Roman"/>
          <w:b/>
          <w:bCs/>
          <w:sz w:val="20"/>
          <w:szCs w:val="20"/>
          <w:highlight w:val="none"/>
          <w:u w:val="single"/>
          <w:lang w:eastAsia="cs-CZ"/>
        </w:rPr>
      </w:r>
    </w:p>
    <w:p>
      <w:pPr>
        <w:pStyle w:val="931"/>
        <w:pBdr/>
        <w:spacing w:after="160" w:afterAutospacing="0" w:before="0" w:beforeAutospacing="0"/>
        <w:ind/>
        <w:jc w:val="both"/>
        <w:rPr>
          <w:rFonts w:ascii="Verdana" w:hAnsi="Verdana" w:cs="Calibri"/>
          <w:color w:val="000000"/>
          <w:sz w:val="20"/>
          <w:szCs w:val="20"/>
          <w:highlight w:val="none"/>
        </w:rPr>
      </w:pPr>
      <w:r>
        <w:rPr>
          <w:rFonts w:ascii="Verdana" w:hAnsi="Verdana" w:cs="Calibri"/>
          <w:b/>
          <w:bCs/>
          <w:color w:val="000000"/>
          <w:sz w:val="20"/>
          <w:szCs w:val="20"/>
        </w:rPr>
        <w:t xml:space="preserve">Jan Kříž</w:t>
      </w:r>
      <w:r>
        <w:rPr>
          <w:rFonts w:ascii="Verdana" w:hAnsi="Verdana" w:cs="Calibri"/>
          <w:color w:val="000000"/>
          <w:sz w:val="20"/>
          <w:szCs w:val="20"/>
        </w:rPr>
        <w:t xml:space="preserve"> (MŽP, vrchní ředitel sekce ekonomiky životního prostředí) </w:t>
      </w:r>
      <w:r>
        <w:rPr>
          <w:rFonts w:ascii="Verdana" w:hAnsi="Verdana" w:cs="Calibri"/>
          <w:color w:val="000000"/>
          <w:sz w:val="20"/>
          <w:szCs w:val="20"/>
        </w:rPr>
        <w:t xml:space="preserve">přivítal přítomné hosty a seznámil je s programem jednání. Představil </w:t>
      </w:r>
      <w:r>
        <w:rPr>
          <w:rFonts w:ascii="Verdana" w:hAnsi="Verdana" w:cs="Calibri"/>
          <w:color w:val="000000"/>
          <w:sz w:val="20"/>
          <w:szCs w:val="20"/>
        </w:rPr>
        <w:t xml:space="preserve">navýšení kapacit MŽP pro přípravu SK</w:t>
      </w:r>
      <w:r>
        <w:rPr>
          <w:rFonts w:ascii="Verdana" w:hAnsi="Verdana" w:cs="Calibri"/>
          <w:color w:val="000000"/>
          <w:sz w:val="20"/>
          <w:szCs w:val="20"/>
        </w:rPr>
        <w:t xml:space="preserve">F</w:t>
      </w:r>
      <w:r>
        <w:rPr>
          <w:rFonts w:ascii="Verdana" w:hAnsi="Verdana" w:cs="Calibri"/>
          <w:color w:val="000000"/>
          <w:sz w:val="20"/>
          <w:szCs w:val="20"/>
        </w:rPr>
        <w:t xml:space="preserve"> a zejm. uvedl </w:t>
      </w:r>
      <w:r>
        <w:rPr>
          <w:rFonts w:ascii="Verdana" w:hAnsi="Verdana" w:cs="Calibri"/>
          <w:color w:val="000000"/>
          <w:sz w:val="20"/>
          <w:szCs w:val="20"/>
        </w:rPr>
        <w:t xml:space="preserve">vedoucího oddělení S</w:t>
      </w:r>
      <w:r>
        <w:rPr>
          <w:rFonts w:ascii="Verdana" w:hAnsi="Verdana" w:cs="Calibri"/>
          <w:color w:val="000000"/>
          <w:sz w:val="20"/>
          <w:szCs w:val="20"/>
        </w:rPr>
        <w:t xml:space="preserve">KF</w:t>
      </w:r>
      <w:r>
        <w:rPr>
          <w:rFonts w:ascii="Verdana" w:hAnsi="Verdana" w:cs="Calibri"/>
          <w:color w:val="000000"/>
          <w:sz w:val="20"/>
          <w:szCs w:val="20"/>
        </w:rPr>
        <w:t xml:space="preserve">Karla Voldřicha</w:t>
      </w:r>
      <w:r>
        <w:rPr>
          <w:rFonts w:ascii="Verdana" w:hAnsi="Verdana" w:cs="Calibri"/>
          <w:color w:val="000000"/>
          <w:sz w:val="20"/>
          <w:szCs w:val="20"/>
        </w:rPr>
        <w:t xml:space="preserve">. Shrnul aktuality v přípravách SKP – MŽP má zákonem o emisním obchodováním přidělenou gesci přípravy SKP</w:t>
      </w:r>
      <w:r>
        <w:rPr>
          <w:rFonts w:ascii="Verdana" w:hAnsi="Verdana" w:cs="Calibri"/>
          <w:color w:val="000000"/>
          <w:sz w:val="20"/>
          <w:szCs w:val="20"/>
        </w:rPr>
        <w:t xml:space="preserve">. Z</w:t>
      </w:r>
      <w:r>
        <w:rPr>
          <w:rFonts w:ascii="Verdana" w:hAnsi="Verdana" w:cs="Calibri"/>
          <w:color w:val="000000"/>
          <w:sz w:val="20"/>
          <w:szCs w:val="20"/>
        </w:rPr>
        <w:t xml:space="preserve"> prostředků SKF nebude vyplácena přímá podpo</w:t>
      </w:r>
      <w:r>
        <w:rPr>
          <w:rFonts w:ascii="Verdana" w:hAnsi="Verdana" w:cs="Calibri"/>
          <w:color w:val="000000"/>
          <w:sz w:val="20"/>
          <w:szCs w:val="20"/>
        </w:rPr>
        <w:t xml:space="preserve">ra příjmů ani </w:t>
      </w:r>
      <w:r>
        <w:rPr>
          <w:rFonts w:ascii="Verdana" w:hAnsi="Verdana" w:cs="Calibri"/>
          <w:color w:val="000000"/>
          <w:sz w:val="20"/>
          <w:szCs w:val="20"/>
        </w:rPr>
        <w:t xml:space="preserve">specifická </w:t>
      </w:r>
      <w:r>
        <w:rPr>
          <w:rFonts w:ascii="Verdana" w:hAnsi="Verdana" w:cs="Calibri"/>
          <w:color w:val="000000"/>
          <w:sz w:val="20"/>
          <w:szCs w:val="20"/>
        </w:rPr>
        <w:t xml:space="preserve">podpora mikropodnikům</w:t>
      </w:r>
      <w:r>
        <w:rPr>
          <w:rFonts w:ascii="Verdana" w:hAnsi="Verdana" w:cs="Calibri"/>
          <w:color w:val="000000"/>
          <w:sz w:val="20"/>
          <w:szCs w:val="20"/>
        </w:rPr>
        <w:t xml:space="preserve">. N</w:t>
      </w:r>
      <w:r>
        <w:rPr>
          <w:rFonts w:ascii="Verdana" w:hAnsi="Verdana" w:cs="Calibri"/>
          <w:color w:val="000000"/>
          <w:sz w:val="20"/>
          <w:szCs w:val="20"/>
        </w:rPr>
        <w:t xml:space="preserve">na evropské úrovni </w:t>
      </w:r>
      <w:r>
        <w:rPr>
          <w:rFonts w:ascii="Verdana" w:hAnsi="Verdana" w:cs="Calibri"/>
          <w:color w:val="000000"/>
          <w:sz w:val="20"/>
          <w:szCs w:val="20"/>
        </w:rPr>
        <w:t xml:space="preserve">pokračuje projekt TSI a </w:t>
      </w:r>
      <w:r>
        <w:rPr>
          <w:rFonts w:ascii="Verdana" w:hAnsi="Verdana" w:cs="Calibri"/>
          <w:color w:val="000000"/>
          <w:sz w:val="20"/>
          <w:szCs w:val="20"/>
        </w:rPr>
        <w:t xml:space="preserve">průběžně probíhají EU </w:t>
      </w:r>
      <w:r>
        <w:rPr>
          <w:rFonts w:ascii="Verdana" w:hAnsi="Verdana" w:cs="Calibri"/>
          <w:color w:val="000000"/>
          <w:sz w:val="20"/>
          <w:szCs w:val="20"/>
        </w:rPr>
        <w:t xml:space="preserve">pracovní skupiny CCEG SC</w:t>
      </w:r>
      <w:r>
        <w:rPr>
          <w:rFonts w:ascii="Verdana" w:hAnsi="Verdana" w:cs="Calibri"/>
          <w:color w:val="000000"/>
          <w:sz w:val="20"/>
          <w:szCs w:val="20"/>
        </w:rPr>
        <w:t xml:space="preserve">F. Zmínil i právě dokončované analýzy dopadů ETS 2 od konsorcia SEEPIA a Trinomics (společně s EGÚ Brno v rámci TSI projektu). Informoval o nejasném procesu implementace ETS 2 a v souvislosti s tím zdůraznil, že </w:t>
      </w:r>
      <w:r>
        <w:rPr>
          <w:rFonts w:ascii="Verdana" w:hAnsi="Verdana" w:cs="Calibri"/>
          <w:color w:val="000000"/>
          <w:sz w:val="20"/>
          <w:szCs w:val="20"/>
        </w:rPr>
        <w:t xml:space="preserve">zadání je zpracovat kvalitní SKP.</w:t>
      </w:r>
      <w:r>
        <w:rPr>
          <w:rFonts w:ascii="Verdana" w:hAnsi="Verdana" w:cs="Calibri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color w:val="000000"/>
          <w:sz w:val="20"/>
          <w:szCs w:val="20"/>
          <w:highlight w:val="none"/>
        </w:rPr>
      </w:r>
    </w:p>
    <w:p>
      <w:pPr>
        <w:pStyle w:val="931"/>
        <w:numPr>
          <w:ilvl w:val="0"/>
          <w:numId w:val="18"/>
        </w:numPr>
        <w:pBdr/>
        <w:spacing w:after="160" w:afterAutospacing="0" w:before="0" w:beforeAutospacing="0"/>
        <w:ind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</w:rPr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Petr Holub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(MŽP,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vrchní ředitel sekce ochrany klimatu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) informaci o situaci implementace ETS 2 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zadání pro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zpracování SKP potvrdil.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</w:rPr>
      </w:r>
    </w:p>
    <w:p>
      <w:pPr>
        <w:pBdr/>
        <w:spacing/>
        <w:ind/>
        <w:jc w:val="both"/>
        <w:rPr>
          <w:rFonts w:ascii="Verdana" w:hAnsi="Verdana" w:eastAsia="Times New Roman" w:cs="Times New Roman"/>
          <w:sz w:val="20"/>
          <w:highlight w:val="none"/>
          <w:lang w:eastAsia="cs-CZ"/>
          <w14:ligatures w14:val="none"/>
        </w:rPr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  <w:u w:val="single"/>
        </w:rPr>
        <w:t xml:space="preserve">B</w:t>
      </w:r>
      <w:r>
        <w:rPr>
          <w:rFonts w:ascii="Verdana" w:hAnsi="Verdana" w:eastAsia="Times New Roman" w:cs="Times New Roman"/>
          <w:b/>
          <w:bCs/>
          <w:sz w:val="20"/>
          <w:szCs w:val="20"/>
          <w:highlight w:val="none"/>
          <w:u w:val="single"/>
          <w:lang w:eastAsia="cs-CZ"/>
        </w:rPr>
        <w:t xml:space="preserve">od 2: </w:t>
      </w:r>
      <w:r>
        <w:rPr>
          <w:rFonts w:ascii="Verdana" w:hAnsi="Verdana" w:eastAsia="Times New Roman" w:cs="Times New Roman"/>
          <w:b/>
          <w:bCs/>
          <w:sz w:val="20"/>
          <w:szCs w:val="20"/>
          <w:highlight w:val="none"/>
          <w:u w:val="single"/>
          <w:lang w:eastAsia="cs-CZ"/>
        </w:rPr>
        <w:t xml:space="preserve">Energetická chudoba – definice a navrhované oblasti podpory</w:t>
      </w:r>
      <w:r>
        <w:rPr>
          <w:rFonts w:ascii="Verdana" w:hAnsi="Verdana" w:eastAsia="Times New Roman" w:cs="Times New Roman"/>
          <w:sz w:val="20"/>
          <w:highlight w:val="none"/>
          <w:lang w:eastAsia="cs-CZ"/>
          <w14:ligatures w14:val="none"/>
        </w:rPr>
      </w:r>
      <w:r>
        <w:rPr>
          <w:rFonts w:ascii="Verdana" w:hAnsi="Verdana" w:eastAsia="Times New Roman" w:cs="Times New Roman"/>
          <w:sz w:val="20"/>
          <w:highlight w:val="none"/>
          <w:lang w:eastAsia="cs-CZ"/>
          <w14:ligatures w14:val="none"/>
        </w:rPr>
      </w:r>
    </w:p>
    <w:p>
      <w:pPr>
        <w:pStyle w:val="931"/>
        <w:pBdr/>
        <w:spacing w:after="160" w:afterAutospacing="0" w:before="0" w:beforeAutospacing="0"/>
        <w:ind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pPr>
      <w:r>
        <w:rPr>
          <w:rFonts w:ascii="Verdana" w:hAnsi="Verdana" w:cs="Calibri"/>
          <w:b/>
          <w:bCs/>
          <w:color w:val="000000"/>
          <w:sz w:val="20"/>
          <w:szCs w:val="20"/>
        </w:rPr>
        <w:t xml:space="preserve">Petra Alžběta Baslová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</w:rPr>
        <w:t xml:space="preserve"> (MŽP,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</w:rPr>
        <w:t xml:space="preserve">oddělení Sociálně klimatického fondu) představila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</w:rPr>
        <w:t xml:space="preserve">aktuální definici energetické chudoby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</w:rPr>
        <w:t xml:space="preserve">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</w:p>
    <w:p>
      <w:pPr>
        <w:pStyle w:val="931"/>
        <w:numPr>
          <w:ilvl w:val="0"/>
          <w:numId w:val="20"/>
        </w:numPr>
        <w:pBdr/>
        <w:spacing w:after="160" w:afterAutospacing="0" w:before="0" w:beforeAutospacing="0"/>
        <w:ind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</w:rPr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Jan Kříž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doplnil informaci o dohodě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MŽP a MPSV na spolupráci při vyhodnocování způsobilosti žadatelů o podporu. MPSV skrze systém „Jenda“ posoudí, zda žadatel splňuje stanovená kriteria týkající se příjmů, nákladů na energie a majetku, MŽP bude vyhodnocovat stav obývané nemovitosti.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Poukázal na rozdíl v definicích MŽP a MPO – MŽP využívá hranici 5. příjmového decilu, MPO 3. decilu.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</w:rPr>
      </w:r>
    </w:p>
    <w:p>
      <w:pPr>
        <w:pStyle w:val="931"/>
        <w:numPr>
          <w:ilvl w:val="0"/>
          <w:numId w:val="20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Nathalie Marková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(MPO, ředitelka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odboru energetické účinnosti a úspor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) sdělila, že na základě 5 jednání expertních skupin se rozhodli stanovit hranici 3. decilu pro energeticky chudé domácnosti a 5. decil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může být využit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pro zranitelné domácnosti.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0"/>
        </w:numPr>
        <w:pBdr/>
        <w:spacing w:after="160" w:afterAutospacing="0" w:before="0" w:beforeAutospacing="0"/>
        <w:ind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pP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Jan Kříž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upozornil,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že pokud se definice budou lišit, nebudou moci MŽP a MPO sdílet data.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</w:p>
    <w:p>
      <w:pPr>
        <w:pStyle w:val="931"/>
        <w:numPr>
          <w:ilvl w:val="0"/>
          <w:numId w:val="20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Maggie Škabraha Dok</w:t>
      </w: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upilová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(MŽP, ředitelka odboru financování dekarbonizace ekonomiky) požádala o přesunutí diskuse o definici energetické chudoby na jiná jednání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, zde by měl být prostor především představit navrhovaná opatření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.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Věří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, že na indikátorech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ECH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se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brzo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shodneme.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pBdr/>
        <w:spacing w:after="160" w:afterAutospacing="0" w:before="0" w:beforeAutospacing="0"/>
        <w:ind w:firstLine="0" w:left="0"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pP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Roman Matoušek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(MMR, poradce ministra) položil otázku, zda zpřísňováním definice příliš nezužujeme skupinu lidí, kteří dosáhnou na dostupné bydlení financované ze SKF.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</w:p>
    <w:p>
      <w:pPr>
        <w:pStyle w:val="931"/>
        <w:numPr>
          <w:ilvl w:val="0"/>
          <w:numId w:val="21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Jan Kříž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ho ujistil, že kritéria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způsobilost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i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budou nastavena adekvátně.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Podpora nemíří pouze na energeticky chudé domácnosti, ale i na domácnosti zranitelné (širší skupina), ze SKF však není možné podporovat výstavbu obecního bydlení pro skupiny s vyššími středními příjmy.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pBdr/>
        <w:spacing w:after="160" w:afterAutospacing="0" w:before="0" w:beforeAutospacing="0"/>
        <w:ind w:firstLine="0" w:left="0"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pP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Martin Šimáček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(MMR,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ředitel odboru pro sociální začleňování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) ocenil posun v definici energetické chudoby, položil otázku, zda na základě definice nevypadnou z cílové skupiny osoby bez záznamů o příjmech, o nákladech na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energie 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vytápění, nebo které vůbec nevytápí.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</w:p>
    <w:p>
      <w:pPr>
        <w:pStyle w:val="931"/>
        <w:numPr>
          <w:ilvl w:val="0"/>
          <w:numId w:val="22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Petra Alžběta Baslová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reagovala, že i domácnost bez příjmu spadá do intervalu „do x-tého decilu“ a bude tím pádem do cílové skupiny zahrnuta. Dále vyjasnila, že jedním z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indikátorů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energetické chudoby bude i nevyhovující stav budovy,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př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ičemž při posuzování způsobilosti pro jednotlivá opatření bude vedle testování příjmů možné další indikátory nastavit variabilně. Nutnost splnit oba indikátory (vysoký podíl výdajů na energie na příjmech a nevyhovující stav budovy) nebude vždy požadována.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D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íky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tomu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budou do c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ílové skupiny zahrnuty domácnosti v nevyhovujícím bydlení, i když nebudou k dispozici záznamy o jejich nákladech za vytápění. Dále informovala, že spolupráce s MPSV a systémem Jenda neznamená, že kritériem pro zahrnutí do cílové skupiny bude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nárok na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DSSP „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superdá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vk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u“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, systém Jenda bude využit pouze jako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nástroj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k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vyhodnocení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energetické chudoby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(příp. způsobilosti)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na základě stanovených kritérií.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2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Jan Kříž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požádal o odložení této diskuse na závěr jednání.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2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Martin Šimáček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souhlasil, navrhl případně prodiskutovat téma na trojstranné schůzce MŽP-MMR-MPSV.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pBdr/>
        <w:spacing w:after="160" w:afterAutospacing="0" w:before="0" w:beforeAutospacing="0"/>
        <w:ind w:firstLine="0" w:left="0"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Petra Alžběta Baslová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představila návrh opatření SKF v oblasti budov (viz příloha č. 1)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</w:p>
    <w:p>
      <w:pPr>
        <w:pStyle w:val="931"/>
        <w:numPr>
          <w:ilvl w:val="0"/>
          <w:numId w:val="23"/>
        </w:numPr>
        <w:pBdr/>
        <w:spacing w:after="160" w:afterAutospacing="0" w:before="0" w:beforeAutospacing="0"/>
        <w:ind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Martin Šimáček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referoval o navrženém opatření na renovace ubytoven zpracovaném MMR a o důvodech jeho poz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d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ějšího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zaslání MŽP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, poprosil o zahrnutí karty do pracovního seznamu opatření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a rozeslání členům TPS společně se zápisem.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</w:p>
    <w:p>
      <w:pPr>
        <w:pStyle w:val="931"/>
        <w:pBdr/>
        <w:spacing w:after="160" w:afterAutospacing="0" w:before="0" w:beforeAutospacing="0"/>
        <w:ind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pP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</w:p>
    <w:p>
      <w:pPr>
        <w:pBdr/>
        <w:spacing/>
        <w:ind/>
        <w:jc w:val="both"/>
        <w:rPr>
          <w:rFonts w:ascii="Verdana" w:hAnsi="Verdana" w:eastAsia="Times New Roman" w:cs="Times New Roman"/>
          <w:sz w:val="20"/>
          <w:highlight w:val="none"/>
          <w:lang w:eastAsia="cs-CZ"/>
          <w14:ligatures w14:val="none"/>
        </w:rPr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  <w:u w:val="single"/>
        </w:rPr>
        <w:t xml:space="preserve">B</w:t>
      </w:r>
      <w:r>
        <w:rPr>
          <w:rFonts w:ascii="Verdana" w:hAnsi="Verdana" w:eastAsia="Times New Roman" w:cs="Times New Roman"/>
          <w:b/>
          <w:bCs/>
          <w:sz w:val="20"/>
          <w:szCs w:val="20"/>
          <w:highlight w:val="none"/>
          <w:u w:val="single"/>
          <w:lang w:eastAsia="cs-CZ"/>
        </w:rPr>
        <w:t xml:space="preserve">od 3: Dopravní</w:t>
      </w:r>
      <w:r>
        <w:rPr>
          <w:rFonts w:ascii="Verdana" w:hAnsi="Verdana" w:eastAsia="Times New Roman" w:cs="Times New Roman"/>
          <w:b/>
          <w:bCs/>
          <w:sz w:val="20"/>
          <w:szCs w:val="20"/>
          <w:highlight w:val="none"/>
          <w:u w:val="single"/>
          <w:lang w:eastAsia="cs-CZ"/>
        </w:rPr>
        <w:t xml:space="preserve"> chudoba – definice a navrhované oblasti podpory</w:t>
      </w:r>
      <w:r>
        <w:rPr>
          <w:rFonts w:ascii="Verdana" w:hAnsi="Verdana" w:eastAsia="Times New Roman" w:cs="Times New Roman"/>
          <w:sz w:val="20"/>
          <w:highlight w:val="none"/>
          <w:lang w:eastAsia="cs-CZ"/>
          <w14:ligatures w14:val="none"/>
        </w:rPr>
      </w:r>
      <w:r>
        <w:rPr>
          <w:rFonts w:ascii="Verdana" w:hAnsi="Verdana" w:eastAsia="Times New Roman" w:cs="Times New Roman"/>
          <w:sz w:val="20"/>
          <w:highlight w:val="none"/>
          <w:lang w:eastAsia="cs-CZ"/>
          <w14:ligatures w14:val="none"/>
        </w:rPr>
      </w:r>
    </w:p>
    <w:p>
      <w:pPr>
        <w:pStyle w:val="931"/>
        <w:pBdr/>
        <w:spacing w:after="160" w:afterAutospacing="0" w:before="0" w:beforeAutospacing="0"/>
        <w:ind w:firstLine="0" w:left="0"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Jaroslav Kepka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(MŽP,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vedoucí oddělení politiky a strategií životního prostředí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) představil definici dopravní chudoby a návrh opatření SKF v oblasti dopravy (viz příloha č. 1).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4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Jan Kříž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se dotázal, zda je již rozhodnuto, kdo bude zastřešovat opatření poptávkové dopravy.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4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Lenka Hamplová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(MD,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vrchní ředitelka Sekce ekonomické a infrastrukturní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) sdělila, že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tato otázka ještě nebyla diskutována. Umí si však představit, že by opatření bylo v gesci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MD, s poptávkovou dopravou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již mají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zkušenost. Dále uvedla, že dopravní chudoba není nedostupnost dopravy pro někoho, kdo je chudý, ale naopak – komu není dostupná doprava, ten je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(dopravně)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chudý. V reakci na opatření podpory individuální elektromobility pro zranitelné domácnosti upozornila, že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nákup osobních vozidel, byť elektromobilů, neřeší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špatnou dopra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vní obslužnost a dopravní chudobu, mj. protože dopravně chudé jsou často osoby bez možnosti řídit auto (mladiství, senioři).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4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Jan Kříž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reagoval, že osobní elektroauto by mohlo být vhodnou podporou pro domácnosti v oblastech, k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de není možné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zavést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poptávkovou doprav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u.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4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Lenka Hamplová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reagovala, že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chápe dopad výměny aut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se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spalovací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mi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motory za elektroauta na snížení emisí CO2. Trvá však na tom, že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podpora individuální elektromobility je podpora obnovy vozového parku, ne řešení dopravní chudoby.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4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Vít Sedmidubský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(MD, odbor strategie) uvedl, že poptávková doprava má rozšířit dopravně obslouženou oblast. Podpořil sdělení </w:t>
      </w: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L. Hamplové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, že dopravní chudoba je dána špatnou dopravní obslužností.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4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Jan Kříž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oznámil, že prioritou SKF v oblasti dopravy je poptávková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a hromadn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veře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jná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doprava, nicméně elektromobilita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by mohla fungovat doplňkově.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4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Lenka Hamplová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vyjádřila obavy o roztočení dotační spirály v případě, že bude stát dotovat domácnostem elektroauta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Následovat by mohl požadavek na dotace na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elektřinu,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revize rozvodů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i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nebo např. úpravu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prostor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(garáže).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numPr>
          <w:ilvl w:val="0"/>
          <w:numId w:val="24"/>
        </w:numPr>
        <w:pBdr/>
        <w:spacing w:after="160" w:afterAutospacing="0" w:before="0" w:beforeAutospacing="0"/>
        <w:ind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Jan Kříž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sdělil, že obecně na opatřeních panuje shoda 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short list by se politicky potvrdil na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na jednání ministrů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v březnu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pBdr/>
        <w:spacing w:after="160" w:afterAutospacing="0" w:before="0" w:beforeAutospacing="0"/>
        <w:ind w:firstLine="0" w:left="0"/>
        <w:jc w:val="both"/>
        <w:rPr/>
      </w:pP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pBdr/>
        <w:spacing w:after="160" w:afterAutospacing="0" w:before="0" w:beforeAutospacing="0"/>
        <w:ind w:firstLine="0" w:left="0"/>
        <w:jc w:val="both"/>
        <w:rPr/>
      </w:pP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  <w:u w:val="single"/>
        </w:rPr>
        <w:t xml:space="preserve">B</w:t>
      </w:r>
      <w:r>
        <w:rPr>
          <w:rFonts w:ascii="Verdana" w:hAnsi="Verdana" w:eastAsia="Times New Roman" w:cs="Times New Roman"/>
          <w:b/>
          <w:bCs/>
          <w:sz w:val="20"/>
          <w:szCs w:val="20"/>
          <w:highlight w:val="none"/>
          <w:u w:val="single"/>
          <w:lang w:eastAsia="cs-CZ"/>
        </w:rPr>
        <w:t xml:space="preserve">od 4: Další kroky a harmonogram finalizace SKP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pBdr/>
        <w:spacing w:after="160" w:afterAutospacing="0" w:before="0" w:beforeAutospacing="0"/>
        <w:ind w:firstLine="0" w:left="0"/>
        <w:jc w:val="both"/>
        <w:rPr/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Maggie Škabraha Dok</w:t>
      </w: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upilová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představila harmonogram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dalších kroků v přípravě SKP.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–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V březnu zahájí činnost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Platform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a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S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KF 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dojde k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p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olitickému p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otvrzení priorit SKP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,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následovat bude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nastavení implementační struktury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na přelomu března a dubna. Na úrovni EU zmínila plánovaná bilaterální jednání s EK, tréninkový seminář pracovní skupiny CCEG SCF a spuštění informačního systému pro SKP.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/>
    </w:p>
    <w:p>
      <w:pPr>
        <w:pStyle w:val="931"/>
        <w:pBdr/>
        <w:spacing w:after="160" w:afterAutospacing="0" w:before="0" w:beforeAutospacing="0"/>
        <w:ind w:firstLine="0" w:left="0"/>
        <w:jc w:val="both"/>
        <w:rPr>
          <w:rFonts w:ascii="Verdana" w:hAnsi="Verdana"/>
          <w:sz w:val="20"/>
          <w:szCs w:val="20"/>
          <w:highlight w:val="none"/>
        </w:rPr>
      </w:pPr>
      <w:r>
        <w:rPr>
          <w:rFonts w:ascii="Verdana" w:hAnsi="Verdana" w:cs="Calibri"/>
          <w:b/>
          <w:bCs/>
          <w:color w:val="000000"/>
          <w:sz w:val="20"/>
          <w:szCs w:val="20"/>
          <w:highlight w:val="none"/>
        </w:rPr>
        <w:t xml:space="preserve">Jan Kříž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ocenil pokročilý stav přípravy opatření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 a apeloval na zintenzivnění prací na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aspektu 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implementa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ce</w:t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  <w:t xml:space="preserve">. Na závěr </w:t>
      </w:r>
      <w:r>
        <w:rPr>
          <w:rFonts w:ascii="Verdana" w:hAnsi="Verdana"/>
          <w:sz w:val="20"/>
          <w:szCs w:val="20"/>
        </w:rPr>
        <w:t xml:space="preserve">poděkoval všem zúčastněným za spolupráci. Další jednání je plánováno na přelom dubna a května.</w:t>
      </w: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/>
          <w:sz w:val="20"/>
          <w:szCs w:val="20"/>
          <w:highlight w:val="none"/>
        </w:rPr>
      </w:r>
    </w:p>
    <w:p>
      <w:pPr>
        <w:pStyle w:val="931"/>
        <w:pBdr/>
        <w:spacing w:after="160" w:afterAutospacing="0" w:before="0" w:beforeAutospacing="0"/>
        <w:ind w:firstLine="0" w:left="0"/>
        <w:jc w:val="both"/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pP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  <w:r>
        <w:rPr>
          <w:rFonts w:ascii="Verdana" w:hAnsi="Verdana" w:cs="Calibri"/>
          <w:b w:val="0"/>
          <w:bCs w:val="0"/>
          <w:color w:val="000000"/>
          <w:sz w:val="20"/>
          <w:szCs w:val="20"/>
          <w:highlight w:val="none"/>
        </w:rPr>
      </w:r>
    </w:p>
    <w:p>
      <w:pPr>
        <w:pBdr/>
        <w:spacing/>
        <w:ind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Seznam příloh zápisu ze </w:t>
      </w:r>
      <w:r>
        <w:rPr>
          <w:rFonts w:ascii="Verdana" w:hAnsi="Verdana"/>
          <w:b/>
          <w:bCs/>
          <w:sz w:val="20"/>
          <w:szCs w:val="20"/>
        </w:rPr>
        <w:t xml:space="preserve">4</w:t>
      </w:r>
      <w:r>
        <w:rPr>
          <w:rFonts w:ascii="Verdana" w:hAnsi="Verdana"/>
          <w:b/>
          <w:bCs/>
          <w:sz w:val="20"/>
          <w:szCs w:val="20"/>
        </w:rPr>
        <w:t xml:space="preserve">.</w:t>
      </w:r>
      <w:r>
        <w:rPr>
          <w:rFonts w:ascii="Verdana" w:hAnsi="Verdana"/>
          <w:b/>
          <w:bCs/>
          <w:sz w:val="20"/>
          <w:szCs w:val="20"/>
        </w:rPr>
        <w:t xml:space="preserve"> zasedání mezirezortní PS SKF:</w:t>
      </w:r>
      <w:r>
        <w:rPr>
          <w:rFonts w:ascii="Verdana" w:hAnsi="Verdana"/>
          <w:b/>
          <w:bCs/>
          <w:sz w:val="20"/>
          <w:szCs w:val="20"/>
        </w:rPr>
      </w:r>
      <w:r>
        <w:rPr>
          <w:rFonts w:ascii="Verdana" w:hAnsi="Verdana"/>
          <w:b/>
          <w:bCs/>
          <w:sz w:val="20"/>
          <w:szCs w:val="20"/>
        </w:rPr>
      </w:r>
    </w:p>
    <w:p>
      <w:pPr>
        <w:pBdr/>
        <w:spacing/>
        <w:ind/>
        <w:jc w:val="both"/>
        <w:rPr>
          <w:rFonts w:ascii="Verdana" w:hAnsi="Verdana"/>
          <w:sz w:val="20"/>
          <w:szCs w:val="20"/>
          <w:highlight w:val="none"/>
        </w:rPr>
      </w:pPr>
      <w:r>
        <w:rPr>
          <w:rFonts w:ascii="Verdana" w:hAnsi="Verdana"/>
          <w:sz w:val="20"/>
          <w:szCs w:val="20"/>
        </w:rPr>
        <w:t xml:space="preserve">Příloha č. 1: </w:t>
      </w:r>
      <w:r>
        <w:rPr>
          <w:rFonts w:ascii="Verdana" w:hAnsi="Verdana"/>
          <w:sz w:val="20"/>
          <w:szCs w:val="20"/>
        </w:rPr>
        <w:t xml:space="preserve">prezentace MŽP</w:t>
      </w: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/>
          <w:sz w:val="20"/>
          <w:szCs w:val="20"/>
          <w:highlight w:val="none"/>
        </w:rPr>
      </w:r>
    </w:p>
    <w:p>
      <w:pPr>
        <w:pBdr/>
        <w:spacing/>
        <w:ind/>
        <w:jc w:val="both"/>
        <w:rPr>
          <w:rFonts w:ascii="Verdana" w:hAnsi="Verdana"/>
          <w:sz w:val="20"/>
          <w:szCs w:val="20"/>
          <w:highlight w:val="none"/>
        </w:rPr>
      </w:pPr>
      <w:r>
        <w:rPr>
          <w:rFonts w:ascii="Verdana" w:hAnsi="Verdana"/>
          <w:sz w:val="20"/>
          <w:szCs w:val="20"/>
          <w:highlight w:val="none"/>
        </w:rPr>
        <w:t xml:space="preserve">Příloha č. 2: Karta opatření k renovacím ubytoven</w:t>
      </w: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/>
          <w:sz w:val="20"/>
          <w:szCs w:val="20"/>
          <w:highlight w:val="none"/>
        </w:rPr>
      </w:r>
    </w:p>
    <w:p>
      <w:pPr>
        <w:pBdr/>
        <w:spacing/>
        <w:ind/>
        <w:jc w:val="both"/>
        <w:rPr>
          <w:rFonts w:ascii="Verdana" w:hAnsi="Verdana"/>
          <w:sz w:val="20"/>
          <w:szCs w:val="20"/>
          <w:highlight w:val="none"/>
        </w:rPr>
      </w:pPr>
      <w:r>
        <w:rPr>
          <w:rFonts w:ascii="Verdana" w:hAnsi="Verdana"/>
          <w:sz w:val="20"/>
          <w:szCs w:val="20"/>
          <w:highlight w:val="none"/>
        </w:rPr>
        <w:t xml:space="preserve">Příloha č. 3: podklad </w:t>
      </w:r>
      <w:r>
        <w:rPr>
          <w:rFonts w:ascii="Verdana" w:hAnsi="Verdana"/>
          <w:sz w:val="20"/>
          <w:szCs w:val="20"/>
          <w:highlight w:val="none"/>
        </w:rPr>
        <w:t xml:space="preserve">k energetické chudobě</w:t>
      </w: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/>
          <w:sz w:val="20"/>
          <w:szCs w:val="20"/>
          <w:highlight w:val="none"/>
        </w:rPr>
      </w:r>
    </w:p>
    <w:p>
      <w:pPr>
        <w:pBdr/>
        <w:spacing/>
        <w:ind/>
        <w:jc w:val="both"/>
        <w:rPr>
          <w:rFonts w:ascii="Verdana" w:hAnsi="Verdana"/>
          <w:sz w:val="20"/>
          <w:szCs w:val="20"/>
          <w:highlight w:val="none"/>
        </w:rPr>
      </w:pPr>
      <w:r>
        <w:rPr>
          <w:rFonts w:ascii="Verdana" w:hAnsi="Verdana"/>
          <w:sz w:val="20"/>
          <w:szCs w:val="20"/>
          <w:highlight w:val="none"/>
        </w:rPr>
        <w:t xml:space="preserve">Příloha č. 4: podklad k dopravní chudobě</w:t>
      </w: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/>
          <w:sz w:val="20"/>
          <w:szCs w:val="20"/>
          <w:highlight w:val="none"/>
        </w:rPr>
      </w:r>
    </w:p>
    <w:p>
      <w:pPr>
        <w:pBdr/>
        <w:spacing/>
        <w:ind/>
        <w:jc w:val="both"/>
        <w:rPr>
          <w:rFonts w:ascii="Verdana" w:hAnsi="Verdana"/>
          <w:sz w:val="20"/>
          <w:szCs w:val="20"/>
          <w:highlight w:val="none"/>
        </w:rPr>
      </w:pPr>
      <w:r>
        <w:rPr>
          <w:rFonts w:ascii="Verdana" w:hAnsi="Verdana"/>
          <w:sz w:val="20"/>
          <w:szCs w:val="20"/>
          <w:highlight w:val="none"/>
        </w:rPr>
        <w:t xml:space="preserve">Příloha č. 5: shrnující přehled opatření</w:t>
      </w: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/>
          <w:sz w:val="20"/>
          <w:szCs w:val="20"/>
          <w:highlight w:val="none"/>
        </w:rPr>
      </w:r>
    </w:p>
    <w:p>
      <w:pPr>
        <w:pBdr/>
        <w:spacing/>
        <w:ind/>
        <w:jc w:val="both"/>
        <w:rPr>
          <w:rFonts w:ascii="Verdana" w:hAnsi="Verdana"/>
          <w:sz w:val="20"/>
          <w:szCs w:val="20"/>
          <w:highlight w:val="none"/>
        </w:rPr>
      </w:pP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/>
          <w:sz w:val="20"/>
          <w:szCs w:val="20"/>
          <w:highlight w:val="none"/>
        </w:rPr>
      </w:r>
      <w:r>
        <w:rPr>
          <w:rFonts w:ascii="Verdana" w:hAnsi="Verdana"/>
          <w:sz w:val="20"/>
          <w:szCs w:val="20"/>
          <w:highlight w:val="none"/>
        </w:rPr>
      </w:r>
    </w:p>
    <w:p>
      <w:pPr>
        <w:pBdr/>
        <w:spacing/>
        <w:ind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</w:r>
    </w:p>
    <w:p>
      <w:pPr>
        <w:pBdr/>
        <w:spacing/>
        <w:ind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Zapsala: Alžběta Rychnovská</w: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</w:r>
    </w:p>
    <w:p>
      <w:pPr>
        <w:pBdr/>
        <w:spacing/>
        <w:ind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Praze dne 19. února 2025</w: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</w:r>
    </w:p>
    <w:sectPr>
      <w:headerReference w:type="default" r:id="rId9"/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3"/>
      <w:pBdr/>
      <w:spacing/>
      <w:ind/>
      <w:rPr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1485900" cy="226855"/>
              <wp:effectExtent l="0" t="0" r="0" b="1905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509228" cy="230417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117.00pt;height:17.86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cs="Calibri" w:eastAsia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)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)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)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)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)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)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)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)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)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cs="Calibri" w:eastAsia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cs="Calibri" w:eastAsia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1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Verdana" w:hAnsi="Verdana" w:eastAsiaTheme="minorHAnsi" w:cstheme="minorBidi"/>
      </w:rPr>
      <w:start w:val="9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2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cs="Calibri" w:eastAsiaTheme="minorHAns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)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)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)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)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)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)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)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)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14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Verdana" w:hAnsi="Verdana" w:eastAsiaTheme="minorHAnsi" w:cstheme="minorBidi"/>
      </w:rPr>
      <w:start w:val="29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106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7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9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0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1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2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4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12"/>
  </w:num>
  <w:num w:numId="6">
    <w:abstractNumId w:val="5"/>
  </w:num>
  <w:num w:numId="7">
    <w:abstractNumId w:val="14"/>
  </w:num>
  <w:num w:numId="8">
    <w:abstractNumId w:val="2"/>
  </w:num>
  <w:num w:numId="9">
    <w:abstractNumId w:val="13"/>
  </w:num>
  <w:num w:numId="10">
    <w:abstractNumId w:val="7"/>
  </w:num>
  <w:num w:numId="11">
    <w:abstractNumId w:val="10"/>
  </w:num>
  <w:num w:numId="12">
    <w:abstractNumId w:val="4"/>
  </w:num>
  <w:num w:numId="13">
    <w:abstractNumId w:val="3"/>
  </w:num>
  <w:num w:numId="14">
    <w:abstractNumId w:val="1"/>
  </w:num>
  <w:num w:numId="15">
    <w:abstractNumId w:val="11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5" w:default="1">
    <w:name w:val="Normal"/>
    <w:qFormat/>
    <w:pPr>
      <w:pBdr/>
      <w:spacing/>
      <w:ind/>
    </w:pPr>
  </w:style>
  <w:style w:type="paragraph" w:styleId="726">
    <w:name w:val="Heading 1"/>
    <w:basedOn w:val="725"/>
    <w:next w:val="725"/>
    <w:link w:val="75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27">
    <w:name w:val="Heading 2"/>
    <w:basedOn w:val="725"/>
    <w:next w:val="725"/>
    <w:link w:val="75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28">
    <w:name w:val="Heading 3"/>
    <w:basedOn w:val="725"/>
    <w:next w:val="725"/>
    <w:link w:val="75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29">
    <w:name w:val="Heading 4"/>
    <w:basedOn w:val="725"/>
    <w:next w:val="725"/>
    <w:link w:val="758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725"/>
    <w:next w:val="725"/>
    <w:link w:val="759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1">
    <w:name w:val="Heading 6"/>
    <w:basedOn w:val="725"/>
    <w:next w:val="725"/>
    <w:link w:val="760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732">
    <w:name w:val="Heading 7"/>
    <w:basedOn w:val="725"/>
    <w:next w:val="725"/>
    <w:link w:val="761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33">
    <w:name w:val="Heading 8"/>
    <w:basedOn w:val="725"/>
    <w:next w:val="725"/>
    <w:link w:val="762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734">
    <w:name w:val="Heading 9"/>
    <w:basedOn w:val="725"/>
    <w:next w:val="725"/>
    <w:link w:val="76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 w:default="1">
    <w:name w:val="Default Paragraph Font"/>
    <w:uiPriority w:val="1"/>
    <w:unhideWhenUsed/>
    <w:pPr>
      <w:pBdr/>
      <w:spacing/>
      <w:ind/>
    </w:pPr>
  </w:style>
  <w:style w:type="table" w:styleId="73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37" w:default="1">
    <w:name w:val="No List"/>
    <w:uiPriority w:val="99"/>
    <w:semiHidden/>
    <w:unhideWhenUsed/>
    <w:pPr>
      <w:pBdr/>
      <w:spacing/>
      <w:ind/>
    </w:pPr>
  </w:style>
  <w:style w:type="character" w:styleId="738" w:customStyle="1">
    <w:name w:val="Heading 1 Char"/>
    <w:basedOn w:val="73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39" w:customStyle="1">
    <w:name w:val="Heading 2 Char"/>
    <w:basedOn w:val="735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40" w:customStyle="1">
    <w:name w:val="Heading 3 Char"/>
    <w:basedOn w:val="73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41" w:customStyle="1">
    <w:name w:val="Heading 4 Char"/>
    <w:basedOn w:val="73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42" w:customStyle="1">
    <w:name w:val="Heading 5 Char"/>
    <w:basedOn w:val="735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43" w:customStyle="1">
    <w:name w:val="Heading 6 Char"/>
    <w:basedOn w:val="73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44" w:customStyle="1">
    <w:name w:val="Heading 7 Char"/>
    <w:basedOn w:val="73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5" w:customStyle="1">
    <w:name w:val="Heading 8 Char"/>
    <w:basedOn w:val="735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46" w:customStyle="1">
    <w:name w:val="Heading 9 Char"/>
    <w:basedOn w:val="73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47" w:customStyle="1">
    <w:name w:val="Title Char"/>
    <w:basedOn w:val="735"/>
    <w:uiPriority w:val="10"/>
    <w:pPr>
      <w:pBdr/>
      <w:spacing/>
      <w:ind/>
    </w:pPr>
    <w:rPr>
      <w:sz w:val="48"/>
      <w:szCs w:val="48"/>
    </w:rPr>
  </w:style>
  <w:style w:type="character" w:styleId="748" w:customStyle="1">
    <w:name w:val="Subtitle Char"/>
    <w:basedOn w:val="735"/>
    <w:uiPriority w:val="11"/>
    <w:pPr>
      <w:pBdr/>
      <w:spacing/>
      <w:ind/>
    </w:pPr>
    <w:rPr>
      <w:sz w:val="24"/>
      <w:szCs w:val="24"/>
    </w:rPr>
  </w:style>
  <w:style w:type="character" w:styleId="749" w:customStyle="1">
    <w:name w:val="Quote Char"/>
    <w:uiPriority w:val="29"/>
    <w:pPr>
      <w:pBdr/>
      <w:spacing/>
      <w:ind/>
    </w:pPr>
    <w:rPr>
      <w:i/>
    </w:rPr>
  </w:style>
  <w:style w:type="character" w:styleId="750" w:customStyle="1">
    <w:name w:val="Intense Quote Char"/>
    <w:uiPriority w:val="30"/>
    <w:pPr>
      <w:pBdr/>
      <w:spacing/>
      <w:ind/>
    </w:pPr>
    <w:rPr>
      <w:i/>
    </w:rPr>
  </w:style>
  <w:style w:type="character" w:styleId="751" w:customStyle="1">
    <w:name w:val="Header Char"/>
    <w:basedOn w:val="735"/>
    <w:uiPriority w:val="99"/>
    <w:pPr>
      <w:pBdr/>
      <w:spacing/>
      <w:ind/>
    </w:pPr>
  </w:style>
  <w:style w:type="character" w:styleId="752" w:customStyle="1">
    <w:name w:val="Caption Char"/>
    <w:uiPriority w:val="99"/>
    <w:pPr>
      <w:pBdr/>
      <w:spacing/>
      <w:ind/>
    </w:pPr>
  </w:style>
  <w:style w:type="character" w:styleId="753" w:customStyle="1">
    <w:name w:val="Footnote Text Char"/>
    <w:uiPriority w:val="99"/>
    <w:pPr>
      <w:pBdr/>
      <w:spacing/>
      <w:ind/>
    </w:pPr>
    <w:rPr>
      <w:sz w:val="18"/>
    </w:rPr>
  </w:style>
  <w:style w:type="character" w:styleId="754" w:customStyle="1">
    <w:name w:val="Endnote Text Char"/>
    <w:uiPriority w:val="99"/>
    <w:pPr>
      <w:pBdr/>
      <w:spacing/>
      <w:ind/>
    </w:pPr>
    <w:rPr>
      <w:sz w:val="20"/>
    </w:rPr>
  </w:style>
  <w:style w:type="character" w:styleId="755" w:customStyle="1">
    <w:name w:val="Nadpis 1 Char"/>
    <w:basedOn w:val="735"/>
    <w:link w:val="72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6" w:customStyle="1">
    <w:name w:val="Nadpis 2 Char"/>
    <w:basedOn w:val="735"/>
    <w:link w:val="727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57" w:customStyle="1">
    <w:name w:val="Nadpis 3 Char"/>
    <w:basedOn w:val="735"/>
    <w:link w:val="72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8" w:customStyle="1">
    <w:name w:val="Nadpis 4 Char"/>
    <w:basedOn w:val="735"/>
    <w:link w:val="72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9" w:customStyle="1">
    <w:name w:val="Nadpis 5 Char"/>
    <w:basedOn w:val="735"/>
    <w:link w:val="73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60" w:customStyle="1">
    <w:name w:val="Nadpis 6 Char"/>
    <w:basedOn w:val="735"/>
    <w:link w:val="731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61" w:customStyle="1">
    <w:name w:val="Nadpis 7 Char"/>
    <w:basedOn w:val="735"/>
    <w:link w:val="732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2" w:customStyle="1">
    <w:name w:val="Nadpis 8 Char"/>
    <w:basedOn w:val="735"/>
    <w:link w:val="733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63" w:customStyle="1">
    <w:name w:val="Nadpis 9 Char"/>
    <w:basedOn w:val="735"/>
    <w:link w:val="734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64">
    <w:name w:val="No Spacing"/>
    <w:uiPriority w:val="1"/>
    <w:qFormat/>
    <w:pPr>
      <w:pBdr/>
      <w:spacing w:after="0" w:line="240" w:lineRule="auto"/>
      <w:ind/>
    </w:pPr>
  </w:style>
  <w:style w:type="paragraph" w:styleId="765">
    <w:name w:val="Title"/>
    <w:basedOn w:val="725"/>
    <w:next w:val="725"/>
    <w:link w:val="76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66" w:customStyle="1">
    <w:name w:val="Název Char"/>
    <w:basedOn w:val="735"/>
    <w:link w:val="765"/>
    <w:uiPriority w:val="10"/>
    <w:pPr>
      <w:pBdr/>
      <w:spacing/>
      <w:ind/>
    </w:pPr>
    <w:rPr>
      <w:sz w:val="48"/>
      <w:szCs w:val="48"/>
    </w:rPr>
  </w:style>
  <w:style w:type="paragraph" w:styleId="767">
    <w:name w:val="Subtitle"/>
    <w:basedOn w:val="725"/>
    <w:next w:val="725"/>
    <w:link w:val="76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68" w:customStyle="1">
    <w:name w:val="Podnadpis Char"/>
    <w:basedOn w:val="735"/>
    <w:link w:val="767"/>
    <w:uiPriority w:val="11"/>
    <w:pPr>
      <w:pBdr/>
      <w:spacing/>
      <w:ind/>
    </w:pPr>
    <w:rPr>
      <w:sz w:val="24"/>
      <w:szCs w:val="24"/>
    </w:rPr>
  </w:style>
  <w:style w:type="paragraph" w:styleId="769">
    <w:name w:val="Quote"/>
    <w:basedOn w:val="725"/>
    <w:next w:val="725"/>
    <w:link w:val="770"/>
    <w:uiPriority w:val="29"/>
    <w:qFormat/>
    <w:pPr>
      <w:pBdr/>
      <w:spacing/>
      <w:ind w:right="720" w:left="720"/>
    </w:pPr>
    <w:rPr>
      <w:i/>
    </w:rPr>
  </w:style>
  <w:style w:type="character" w:styleId="770" w:customStyle="1">
    <w:name w:val="Citát Char"/>
    <w:link w:val="769"/>
    <w:uiPriority w:val="29"/>
    <w:pPr>
      <w:pBdr/>
      <w:spacing/>
      <w:ind/>
    </w:pPr>
    <w:rPr>
      <w:i/>
    </w:rPr>
  </w:style>
  <w:style w:type="paragraph" w:styleId="771">
    <w:name w:val="Intense Quote"/>
    <w:basedOn w:val="725"/>
    <w:next w:val="725"/>
    <w:link w:val="77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72" w:customStyle="1">
    <w:name w:val="Výrazný citát Char"/>
    <w:link w:val="771"/>
    <w:uiPriority w:val="30"/>
    <w:pPr>
      <w:pBdr/>
      <w:spacing/>
      <w:ind/>
    </w:pPr>
    <w:rPr>
      <w:i/>
    </w:rPr>
  </w:style>
  <w:style w:type="paragraph" w:styleId="773">
    <w:name w:val="Header"/>
    <w:basedOn w:val="725"/>
    <w:link w:val="77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74" w:customStyle="1">
    <w:name w:val="Záhlaví Char"/>
    <w:basedOn w:val="735"/>
    <w:link w:val="773"/>
    <w:uiPriority w:val="99"/>
    <w:pPr>
      <w:pBdr/>
      <w:spacing/>
      <w:ind/>
    </w:pPr>
  </w:style>
  <w:style w:type="paragraph" w:styleId="775">
    <w:name w:val="Footer"/>
    <w:basedOn w:val="725"/>
    <w:link w:val="77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76" w:customStyle="1">
    <w:name w:val="Footer Char"/>
    <w:basedOn w:val="735"/>
    <w:uiPriority w:val="99"/>
    <w:pPr>
      <w:pBdr/>
      <w:spacing/>
      <w:ind/>
    </w:pPr>
  </w:style>
  <w:style w:type="paragraph" w:styleId="777">
    <w:name w:val="Caption"/>
    <w:basedOn w:val="725"/>
    <w:next w:val="725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78" w:customStyle="1">
    <w:name w:val="Zápatí Char"/>
    <w:link w:val="775"/>
    <w:uiPriority w:val="99"/>
    <w:pPr>
      <w:pBdr/>
      <w:spacing/>
      <w:ind/>
    </w:pPr>
  </w:style>
  <w:style w:type="table" w:styleId="779" w:customStyle="1">
    <w:name w:val="Table Grid Light"/>
    <w:basedOn w:val="736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Plain Table 1"/>
    <w:basedOn w:val="736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Plain Table 2"/>
    <w:basedOn w:val="736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Plain Table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Plain Table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Plain Table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1 Light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Grid Table 1 Light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Grid Table 1 Light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Grid Table 1 Light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Grid Table 1 Light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1 Light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1 Light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2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2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Grid Table 2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2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2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2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3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3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3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3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3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3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4"/>
    <w:basedOn w:val="73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4 - Accent 1"/>
    <w:basedOn w:val="73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4 - Accent 2"/>
    <w:basedOn w:val="73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4 - Accent 3"/>
    <w:basedOn w:val="73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4 - Accent 4"/>
    <w:basedOn w:val="73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4 - Accent 5"/>
    <w:basedOn w:val="73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4 - Accent 6"/>
    <w:basedOn w:val="73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5 Dark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5 Dark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5 Dark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5 Dark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5 Dark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5 Dark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5 Dark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6 Colorful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6 Colorful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6 Colorful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6 Colorful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6 Colorful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6 Colorful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6 Colorful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7 Colorful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7 Colorful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7 Colorful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7 Colorful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7 Colorful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7 Colorful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7 Colorful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1 Light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List Table 1 Light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List Table 1 Light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List Table 1 Light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st Table 1 Light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1 Light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1 Light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2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2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st Table 2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2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2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2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3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3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3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3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3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3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4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4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4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4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4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4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5 Dark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5 Dark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5 Dark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5 Dark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5 Dark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5 Dark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5 Dark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6 Colorful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6 Colorful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6 Colorful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6 Colorful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6 Colorful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6 Colorful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6 Colorful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7 Colorful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7 Colorful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472c4" w:themeColor="accent1" w:sz="4" w:space="0"/>
      </w:tblBorders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7 Colorful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7 Colorful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7 Colorful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7 Colorful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7 Colorful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ned - Accent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ned - Accent 1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ned - Accent 2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ned - Accent 3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ned - Accent 4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ned - Accent 5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ned - Accent 6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Bordered &amp; Lined - Accent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Bordered &amp; Lined - Accent 1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Bordered &amp; Lined - Accent 2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Bordered &amp; Lined - Accent 3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Bordered &amp; Lined - Accent 4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Bordered &amp; Lined - Accent 5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Bordered &amp; Lined - Accent 6"/>
    <w:basedOn w:val="736"/>
    <w:uiPriority w:val="99"/>
    <w:pPr>
      <w:pBdr/>
      <w:spacing w:after="0" w:line="240" w:lineRule="auto"/>
      <w:ind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Bordered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Bordered - Accent 1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Bordered - Accent 2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Bordered - Accent 3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Bordered - Accent 4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Bordered - Accent 5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Bordered - Accent 6"/>
    <w:basedOn w:val="73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04">
    <w:name w:val="Hyperlink"/>
    <w:uiPriority w:val="99"/>
    <w:unhideWhenUsed/>
    <w:pPr>
      <w:pBdr/>
      <w:spacing/>
      <w:ind/>
    </w:pPr>
    <w:rPr>
      <w:color w:val="0563c1" w:themeColor="hyperlink"/>
      <w:u w:val="single"/>
    </w:rPr>
  </w:style>
  <w:style w:type="paragraph" w:styleId="905">
    <w:name w:val="footnote text"/>
    <w:basedOn w:val="725"/>
    <w:link w:val="90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06" w:customStyle="1">
    <w:name w:val="Text pozn. pod čarou Char"/>
    <w:link w:val="905"/>
    <w:uiPriority w:val="99"/>
    <w:pPr>
      <w:pBdr/>
      <w:spacing/>
      <w:ind/>
    </w:pPr>
    <w:rPr>
      <w:sz w:val="18"/>
    </w:rPr>
  </w:style>
  <w:style w:type="character" w:styleId="907">
    <w:name w:val="footnote reference"/>
    <w:basedOn w:val="735"/>
    <w:uiPriority w:val="99"/>
    <w:unhideWhenUsed/>
    <w:pPr>
      <w:pBdr/>
      <w:spacing/>
      <w:ind/>
    </w:pPr>
    <w:rPr>
      <w:vertAlign w:val="superscript"/>
    </w:rPr>
  </w:style>
  <w:style w:type="paragraph" w:styleId="908">
    <w:name w:val="endnote text"/>
    <w:basedOn w:val="725"/>
    <w:link w:val="90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09" w:customStyle="1">
    <w:name w:val="Text vysvětlivek Char"/>
    <w:link w:val="908"/>
    <w:uiPriority w:val="99"/>
    <w:pPr>
      <w:pBdr/>
      <w:spacing/>
      <w:ind/>
    </w:pPr>
    <w:rPr>
      <w:sz w:val="20"/>
    </w:rPr>
  </w:style>
  <w:style w:type="character" w:styleId="910">
    <w:name w:val="endnote reference"/>
    <w:basedOn w:val="735"/>
    <w:uiPriority w:val="99"/>
    <w:semiHidden/>
    <w:unhideWhenUsed/>
    <w:pPr>
      <w:pBdr/>
      <w:spacing/>
      <w:ind/>
    </w:pPr>
    <w:rPr>
      <w:vertAlign w:val="superscript"/>
    </w:rPr>
  </w:style>
  <w:style w:type="paragraph" w:styleId="911">
    <w:name w:val="toc 1"/>
    <w:basedOn w:val="725"/>
    <w:next w:val="725"/>
    <w:uiPriority w:val="39"/>
    <w:unhideWhenUsed/>
    <w:pPr>
      <w:pBdr/>
      <w:spacing w:after="57"/>
      <w:ind/>
    </w:pPr>
  </w:style>
  <w:style w:type="paragraph" w:styleId="912">
    <w:name w:val="toc 2"/>
    <w:basedOn w:val="725"/>
    <w:next w:val="725"/>
    <w:uiPriority w:val="39"/>
    <w:unhideWhenUsed/>
    <w:pPr>
      <w:pBdr/>
      <w:spacing w:after="57"/>
      <w:ind w:left="283"/>
    </w:pPr>
  </w:style>
  <w:style w:type="paragraph" w:styleId="913">
    <w:name w:val="toc 3"/>
    <w:basedOn w:val="725"/>
    <w:next w:val="725"/>
    <w:uiPriority w:val="39"/>
    <w:unhideWhenUsed/>
    <w:pPr>
      <w:pBdr/>
      <w:spacing w:after="57"/>
      <w:ind w:left="567"/>
    </w:pPr>
  </w:style>
  <w:style w:type="paragraph" w:styleId="914">
    <w:name w:val="toc 4"/>
    <w:basedOn w:val="725"/>
    <w:next w:val="725"/>
    <w:uiPriority w:val="39"/>
    <w:unhideWhenUsed/>
    <w:pPr>
      <w:pBdr/>
      <w:spacing w:after="57"/>
      <w:ind w:left="850"/>
    </w:pPr>
  </w:style>
  <w:style w:type="paragraph" w:styleId="915">
    <w:name w:val="toc 5"/>
    <w:basedOn w:val="725"/>
    <w:next w:val="725"/>
    <w:uiPriority w:val="39"/>
    <w:unhideWhenUsed/>
    <w:pPr>
      <w:pBdr/>
      <w:spacing w:after="57"/>
      <w:ind w:left="1134"/>
    </w:pPr>
  </w:style>
  <w:style w:type="paragraph" w:styleId="916">
    <w:name w:val="toc 6"/>
    <w:basedOn w:val="725"/>
    <w:next w:val="725"/>
    <w:uiPriority w:val="39"/>
    <w:unhideWhenUsed/>
    <w:pPr>
      <w:pBdr/>
      <w:spacing w:after="57"/>
      <w:ind w:left="1417"/>
    </w:pPr>
  </w:style>
  <w:style w:type="paragraph" w:styleId="917">
    <w:name w:val="toc 7"/>
    <w:basedOn w:val="725"/>
    <w:next w:val="725"/>
    <w:uiPriority w:val="39"/>
    <w:unhideWhenUsed/>
    <w:pPr>
      <w:pBdr/>
      <w:spacing w:after="57"/>
      <w:ind w:left="1701"/>
    </w:pPr>
  </w:style>
  <w:style w:type="paragraph" w:styleId="918">
    <w:name w:val="toc 8"/>
    <w:basedOn w:val="725"/>
    <w:next w:val="725"/>
    <w:uiPriority w:val="39"/>
    <w:unhideWhenUsed/>
    <w:pPr>
      <w:pBdr/>
      <w:spacing w:after="57"/>
      <w:ind w:left="1984"/>
    </w:pPr>
  </w:style>
  <w:style w:type="paragraph" w:styleId="919">
    <w:name w:val="toc 9"/>
    <w:basedOn w:val="725"/>
    <w:next w:val="725"/>
    <w:uiPriority w:val="39"/>
    <w:unhideWhenUsed/>
    <w:pPr>
      <w:pBdr/>
      <w:spacing w:after="57"/>
      <w:ind w:left="2268"/>
    </w:pPr>
  </w:style>
  <w:style w:type="paragraph" w:styleId="920">
    <w:name w:val="TOC Heading"/>
    <w:uiPriority w:val="39"/>
    <w:unhideWhenUsed/>
    <w:pPr>
      <w:pBdr/>
      <w:spacing/>
      <w:ind/>
    </w:pPr>
  </w:style>
  <w:style w:type="paragraph" w:styleId="921">
    <w:name w:val="table of figures"/>
    <w:basedOn w:val="725"/>
    <w:next w:val="725"/>
    <w:uiPriority w:val="99"/>
    <w:unhideWhenUsed/>
    <w:pPr>
      <w:pBdr/>
      <w:spacing w:after="0"/>
      <w:ind/>
    </w:pPr>
  </w:style>
  <w:style w:type="table" w:styleId="922">
    <w:name w:val="Table Grid"/>
    <w:basedOn w:val="736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23">
    <w:name w:val="List Paragraph"/>
    <w:basedOn w:val="725"/>
    <w:uiPriority w:val="34"/>
    <w:qFormat/>
    <w:pPr>
      <w:pBdr/>
      <w:spacing/>
      <w:ind w:left="720"/>
      <w:contextualSpacing w:val="true"/>
    </w:pPr>
  </w:style>
  <w:style w:type="character" w:styleId="924">
    <w:name w:val="annotation reference"/>
    <w:basedOn w:val="735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925">
    <w:name w:val="annotation text"/>
    <w:basedOn w:val="725"/>
    <w:link w:val="926"/>
    <w:uiPriority w:val="99"/>
    <w:semiHidden/>
    <w:unhideWhenUsed/>
    <w:pPr>
      <w:pBdr/>
      <w:spacing w:line="240" w:lineRule="auto"/>
      <w:ind/>
    </w:pPr>
    <w:rPr>
      <w:sz w:val="20"/>
      <w:szCs w:val="20"/>
    </w:rPr>
  </w:style>
  <w:style w:type="character" w:styleId="926" w:customStyle="1">
    <w:name w:val="Text komentáře Char"/>
    <w:basedOn w:val="735"/>
    <w:link w:val="925"/>
    <w:uiPriority w:val="99"/>
    <w:semiHidden/>
    <w:pPr>
      <w:pBdr/>
      <w:spacing/>
      <w:ind/>
    </w:pPr>
    <w:rPr>
      <w:sz w:val="20"/>
      <w:szCs w:val="20"/>
    </w:rPr>
  </w:style>
  <w:style w:type="paragraph" w:styleId="927">
    <w:name w:val="annotation subject"/>
    <w:basedOn w:val="925"/>
    <w:next w:val="925"/>
    <w:link w:val="928"/>
    <w:uiPriority w:val="99"/>
    <w:semiHidden/>
    <w:unhideWhenUsed/>
    <w:pPr>
      <w:pBdr/>
      <w:spacing/>
      <w:ind/>
    </w:pPr>
    <w:rPr>
      <w:b/>
      <w:bCs/>
    </w:rPr>
  </w:style>
  <w:style w:type="character" w:styleId="928" w:customStyle="1">
    <w:name w:val="Předmět komentáře Char"/>
    <w:basedOn w:val="926"/>
    <w:link w:val="927"/>
    <w:uiPriority w:val="99"/>
    <w:semiHidden/>
    <w:pPr>
      <w:pBdr/>
      <w:spacing/>
      <w:ind/>
    </w:pPr>
    <w:rPr>
      <w:b/>
      <w:bCs/>
      <w:sz w:val="20"/>
      <w:szCs w:val="20"/>
    </w:rPr>
  </w:style>
  <w:style w:type="paragraph" w:styleId="929">
    <w:name w:val="Balloon Text"/>
    <w:basedOn w:val="725"/>
    <w:link w:val="930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930" w:customStyle="1">
    <w:name w:val="Text bubliny Char"/>
    <w:basedOn w:val="735"/>
    <w:link w:val="929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931" w:customStyle="1">
    <w:name w:val="docdata"/>
    <w:basedOn w:val="72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932">
    <w:name w:val="Normal (Web)"/>
    <w:basedOn w:val="725"/>
    <w:uiPriority w:val="99"/>
    <w:semiHidden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table" w:styleId="933">
    <w:name w:val="Grid Table Light"/>
    <w:basedOn w:val="736"/>
    <w:uiPriority w:val="40"/>
    <w:pPr>
      <w:pBdr/>
      <w:spacing w:after="0" w:line="240" w:lineRule="auto"/>
      <w:ind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webSettings" Target="webSetting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theme" Target="theme/theme1.xml"/><Relationship Id="rId10" Type="http://schemas.openxmlformats.org/officeDocument/2006/relationships/customXml" Target="../customXml/item1.xml"/><Relationship Id="rId4" Type="http://schemas.openxmlformats.org/officeDocument/2006/relationships/fontTable" Target="fontTable.xml"/><Relationship Id="rId9" Type="http://schemas.openxmlformats.org/officeDocument/2006/relationships/header" Target="header1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A7C3E4E003834BAA2F8A4690396254" ma:contentTypeVersion="11" ma:contentTypeDescription="Vytvoří nový dokument" ma:contentTypeScope="" ma:versionID="69510f98ac67e50b3c33bec483252dce">
  <xsd:schema xmlns:xsd="http://www.w3.org/2001/XMLSchema" xmlns:xs="http://www.w3.org/2001/XMLSchema" xmlns:p="http://schemas.microsoft.com/office/2006/metadata/properties" xmlns:ns2="cfb270e9-7516-40cf-98b8-6922cbfb1b88" xmlns:ns3="21740295-8dcd-40e9-a840-bc55c6955c2e" targetNamespace="http://schemas.microsoft.com/office/2006/metadata/properties" ma:root="true" ma:fieldsID="a8b111cac4e38bdd2f0f46bbfde76b9c" ns2:_="" ns3:_="">
    <xsd:import namespace="cfb270e9-7516-40cf-98b8-6922cbfb1b88"/>
    <xsd:import namespace="21740295-8dcd-40e9-a840-bc55c6955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270e9-7516-40cf-98b8-6922cbfb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bd78041b-cfb6-4e53-adb4-0c41c6fe63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40295-8dcd-40e9-a840-bc55c6955c2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da4f63e-732c-442f-9d17-84b3b519930b}" ma:internalName="TaxCatchAll" ma:showField="CatchAllData" ma:web="21740295-8dcd-40e9-a840-bc55c6955c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b270e9-7516-40cf-98b8-6922cbfb1b88">
      <Terms xmlns="http://schemas.microsoft.com/office/infopath/2007/PartnerControls"/>
    </lcf76f155ced4ddcb4097134ff3c332f>
    <TaxCatchAll xmlns="21740295-8dcd-40e9-a840-bc55c6955c2e" xsi:nil="true"/>
  </documentManagement>
</p:properties>
</file>

<file path=customXml/itemProps1.xml><?xml version="1.0" encoding="utf-8"?>
<ds:datastoreItem xmlns:ds="http://schemas.openxmlformats.org/officeDocument/2006/customXml" ds:itemID="{8B30C18C-C323-441B-9595-79D0E8770FE6}"/>
</file>

<file path=customXml/itemProps2.xml><?xml version="1.0" encoding="utf-8"?>
<ds:datastoreItem xmlns:ds="http://schemas.openxmlformats.org/officeDocument/2006/customXml" ds:itemID="{74F770CE-BAD6-445A-A850-92338980EEFD}"/>
</file>

<file path=customXml/itemProps3.xml><?xml version="1.0" encoding="utf-8"?>
<ds:datastoreItem xmlns:ds="http://schemas.openxmlformats.org/officeDocument/2006/customXml" ds:itemID="{DF118020-3A87-4D34-BFC1-07BDC8AAC3E6}"/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Hanousková Beáta</dc:creator>
  <cp:keywords/>
  <dc:description/>
  <cp:lastModifiedBy>Rychnovská Alžběta, Mgr.</cp:lastModifiedBy>
  <cp:revision>42</cp:revision>
  <dcterms:created xsi:type="dcterms:W3CDTF">2023-11-02T13:45:00Z</dcterms:created>
  <dcterms:modified xsi:type="dcterms:W3CDTF">2025-06-03T09:30:16Z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ed51155cf18e4559d367e5f56773db51ffddda7006432baf865c4ebe6c0cc0b8</vt:lpwstr>
  </property>
  <property fmtid="{D5CDD505-2E9C-101B-9397-08002B2CF9AE}" pid="3" name="ContentTypeId">
    <vt:lpwstr>0x010100D3A7C3E4E003834BAA2F8A4690396254</vt:lpwstr>
  </property>
</Properties>
</file>