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7 -->
  <w:body>
    <w:p w:rsidR="00BB660F" w:rsidRPr="00BB660F" w14:paraId="58272C6F" w14:textId="77777777">
      <w:pPr>
        <w:rPr>
          <w:rFonts w:cstheme="minorHAnsi"/>
        </w:rPr>
      </w:pPr>
    </w:p>
    <w:p w:rsidR="00BB660F" w:rsidRPr="00BB660F" w:rsidP="00931F6E" w14:paraId="65999BDD" w14:textId="1ED72FD0">
      <w:pPr>
        <w:pStyle w:val="Heading1"/>
        <w:numPr>
          <w:ilvl w:val="0"/>
          <w:numId w:val="0"/>
        </w:numPr>
        <w:ind w:left="432"/>
        <w:jc w:val="center"/>
      </w:pPr>
      <w:r w:rsidRPr="00BB660F">
        <w:t xml:space="preserve">Výzva č. </w:t>
      </w:r>
      <w:r w:rsidR="00A24D23">
        <w:t>2</w:t>
      </w:r>
      <w:r w:rsidRPr="00BB660F">
        <w:t>/2022</w:t>
      </w:r>
    </w:p>
    <w:p w:rsidR="00BB660F" w:rsidRPr="00BB660F" w:rsidP="00931F6E" w14:paraId="30C438A9" w14:textId="5F0EC41C">
      <w:pPr>
        <w:pStyle w:val="Heading1"/>
        <w:numPr>
          <w:ilvl w:val="0"/>
          <w:numId w:val="0"/>
        </w:numPr>
        <w:ind w:left="432"/>
        <w:jc w:val="center"/>
      </w:pPr>
      <w:r w:rsidRPr="00BB660F">
        <w:t xml:space="preserve">k předkládání žádostí o poskytnutí podpory v rámci programu </w:t>
      </w:r>
      <w:r w:rsidR="007A73B6">
        <w:br/>
      </w:r>
      <w:r w:rsidRPr="00BB660F">
        <w:t xml:space="preserve">Národní plán </w:t>
      </w:r>
      <w:r w:rsidRPr="00BB660F">
        <w:t>obnovy - Podpora</w:t>
      </w:r>
      <w:r w:rsidRPr="00BB660F">
        <w:t xml:space="preserve"> obnovy přirozených funkcí krajiny</w:t>
      </w:r>
      <w:r w:rsidR="0078750C">
        <w:t xml:space="preserve"> </w:t>
      </w:r>
      <w:r w:rsidR="001622D2">
        <w:br/>
        <w:t xml:space="preserve">v letech </w:t>
      </w:r>
      <w:r w:rsidR="00A24D23">
        <w:t>2022 - 2025</w:t>
      </w:r>
    </w:p>
    <w:p w:rsidR="00BB660F" w:rsidP="00BB660F" w14:paraId="35ACB621" w14:textId="77777777">
      <w:pPr>
        <w:rPr>
          <w:rFonts w:cstheme="minorHAnsi"/>
        </w:rPr>
      </w:pPr>
    </w:p>
    <w:p w:rsidR="00BB660F" w:rsidP="003C76E8" w14:paraId="0FC7F2A5" w14:textId="7FB498B8">
      <w:pPr>
        <w:spacing w:line="276" w:lineRule="auto"/>
      </w:pPr>
      <w:r>
        <w:rPr>
          <w:rFonts w:cstheme="minorHAnsi"/>
        </w:rPr>
        <w:t>Ministerstvo životního prostředí</w:t>
      </w:r>
      <w:r w:rsidRPr="00BB660F">
        <w:rPr>
          <w:rFonts w:cstheme="minorHAnsi"/>
        </w:rPr>
        <w:t xml:space="preserve"> České republiky (dále jen „</w:t>
      </w:r>
      <w:r>
        <w:rPr>
          <w:rFonts w:cstheme="minorHAnsi"/>
        </w:rPr>
        <w:t>MŽP</w:t>
      </w:r>
      <w:r w:rsidRPr="00BB660F">
        <w:rPr>
          <w:rFonts w:cstheme="minorHAnsi"/>
        </w:rPr>
        <w:t xml:space="preserve">“) vyhlašuje v souladu se Směrnicí MŽP č. </w:t>
      </w:r>
      <w:r w:rsidRPr="00160D4C">
        <w:rPr>
          <w:rFonts w:cstheme="minorHAnsi"/>
        </w:rPr>
        <w:t>7</w:t>
      </w:r>
      <w:r w:rsidRPr="00BB660F">
        <w:rPr>
          <w:rFonts w:cstheme="minorHAnsi"/>
        </w:rPr>
        <w:t xml:space="preserve">/2022 pro poskytování finančních prostředků v rámci </w:t>
      </w:r>
      <w:r>
        <w:rPr>
          <w:rFonts w:cstheme="minorHAnsi"/>
        </w:rPr>
        <w:t>programu Národní plán obnovy – Podpora obnovy přirozených funkcí k</w:t>
      </w:r>
      <w:bookmarkStart w:id="0" w:name="_GoBack"/>
      <w:bookmarkEnd w:id="0"/>
      <w:r>
        <w:rPr>
          <w:rFonts w:cstheme="minorHAnsi"/>
        </w:rPr>
        <w:t>rajiny</w:t>
      </w:r>
      <w:r w:rsidRPr="00BB660F">
        <w:rPr>
          <w:rFonts w:cstheme="minorHAnsi"/>
        </w:rPr>
        <w:t xml:space="preserve"> </w:t>
      </w:r>
      <w:r w:rsidR="001622D2">
        <w:rPr>
          <w:rFonts w:cstheme="minorHAnsi"/>
        </w:rPr>
        <w:t xml:space="preserve">v letech </w:t>
      </w:r>
      <w:r w:rsidR="00A24D23">
        <w:rPr>
          <w:rFonts w:cstheme="minorHAnsi"/>
        </w:rPr>
        <w:t>2022 – 2025</w:t>
      </w:r>
      <w:r w:rsidR="00A24D23">
        <w:rPr>
          <w:rFonts w:cstheme="minorHAnsi"/>
        </w:rPr>
        <w:t xml:space="preserve"> </w:t>
      </w:r>
      <w:r w:rsidRPr="00BB660F">
        <w:rPr>
          <w:rFonts w:cstheme="minorHAnsi"/>
        </w:rPr>
        <w:t>výzvu pro příjem žádostí o poskytnutí finančních prostředků z</w:t>
      </w:r>
      <w:r>
        <w:rPr>
          <w:rFonts w:cstheme="minorHAnsi"/>
        </w:rPr>
        <w:t> programu Národní plán obnovy – Podpora obnovy přirozených funkcí krajiny</w:t>
      </w:r>
      <w:r w:rsidR="00593C68">
        <w:rPr>
          <w:rFonts w:cstheme="minorHAnsi"/>
        </w:rPr>
        <w:t xml:space="preserve"> </w:t>
      </w:r>
      <w:r w:rsidR="00AC5321">
        <w:rPr>
          <w:rFonts w:cstheme="minorHAnsi"/>
        </w:rPr>
        <w:t>pro podprogram č.</w:t>
      </w:r>
      <w:r w:rsidR="00BF3AA0">
        <w:rPr>
          <w:rFonts w:cstheme="minorHAnsi"/>
        </w:rPr>
        <w:t xml:space="preserve"> </w:t>
      </w:r>
      <w:r w:rsidR="00AC5321">
        <w:rPr>
          <w:rFonts w:cstheme="minorHAnsi"/>
        </w:rPr>
        <w:t>164</w:t>
      </w:r>
      <w:r w:rsidR="00DD48BE">
        <w:rPr>
          <w:rFonts w:cstheme="minorHAnsi"/>
        </w:rPr>
        <w:t>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643"/>
        <w:gridCol w:w="5433"/>
      </w:tblGrid>
      <w:tr w14:paraId="55D24178" w14:textId="77777777" w:rsidTr="00FC5A08">
        <w:tblPrEx>
          <w:tblW w:w="0" w:type="auto"/>
          <w:jc w:val="center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hRule="exact" w:val="298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65D" w:rsidRPr="001E39D7" w:rsidP="00FC5A08" w14:paraId="0CE42FAC" w14:textId="77777777">
            <w:pPr>
              <w:pStyle w:val="Jin0"/>
              <w:shd w:val="clear" w:color="auto" w:fill="auto"/>
              <w:spacing w:after="0" w:line="240" w:lineRule="auto"/>
              <w:rPr>
                <w:rFonts w:ascii="Franklin Gothic Book" w:hAnsi="Franklin Gothic Book"/>
                <w:sz w:val="22"/>
                <w:szCs w:val="22"/>
              </w:rPr>
            </w:pPr>
            <w:r w:rsidRPr="001E39D7">
              <w:rPr>
                <w:rFonts w:ascii="Franklin Gothic Book" w:hAnsi="Franklin Gothic Book"/>
                <w:sz w:val="22"/>
                <w:szCs w:val="22"/>
              </w:rPr>
              <w:t>Číslo Výzvy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65D" w:rsidRPr="001E39D7" w:rsidP="00FC5A08" w14:paraId="29059282" w14:textId="54AD5D17">
            <w:pPr>
              <w:pStyle w:val="Jin0"/>
              <w:shd w:val="clear" w:color="auto" w:fill="auto"/>
              <w:spacing w:after="0" w:line="240" w:lineRule="auto"/>
              <w:rPr>
                <w:rFonts w:ascii="Franklin Gothic Book" w:hAnsi="Franklin Gothic Book"/>
                <w:sz w:val="22"/>
                <w:szCs w:val="22"/>
              </w:rPr>
            </w:pPr>
            <w:r>
              <w:rPr>
                <w:rFonts w:ascii="Franklin Gothic Book" w:hAnsi="Franklin Gothic Book"/>
                <w:sz w:val="22"/>
                <w:szCs w:val="22"/>
              </w:rPr>
              <w:t>2</w:t>
            </w:r>
            <w:r w:rsidRPr="001E39D7">
              <w:rPr>
                <w:rFonts w:ascii="Franklin Gothic Book" w:hAnsi="Franklin Gothic Book"/>
                <w:sz w:val="22"/>
                <w:szCs w:val="22"/>
              </w:rPr>
              <w:t>/2022</w:t>
            </w:r>
          </w:p>
        </w:tc>
      </w:tr>
      <w:tr w14:paraId="1DCD3391" w14:textId="77777777" w:rsidTr="00DD48BE">
        <w:tblPrEx>
          <w:tblW w:w="0" w:type="auto"/>
          <w:jc w:val="center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hRule="exact" w:val="884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65D" w:rsidRPr="001E39D7" w:rsidP="00FC5A08" w14:paraId="7E2673EE" w14:textId="7F03D895">
            <w:pPr>
              <w:pStyle w:val="Jin0"/>
              <w:shd w:val="clear" w:color="auto" w:fill="auto"/>
              <w:spacing w:after="0" w:line="240" w:lineRule="auto"/>
              <w:rPr>
                <w:rFonts w:ascii="Franklin Gothic Book" w:hAnsi="Franklin Gothic Book"/>
                <w:sz w:val="22"/>
                <w:szCs w:val="22"/>
              </w:rPr>
            </w:pPr>
            <w:r w:rsidRPr="001E39D7">
              <w:rPr>
                <w:rFonts w:ascii="Franklin Gothic Book" w:hAnsi="Franklin Gothic Book"/>
                <w:sz w:val="22"/>
                <w:szCs w:val="22"/>
              </w:rPr>
              <w:t>Podprogram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65D" w:rsidRPr="001E39D7" w:rsidP="00FC5A08" w14:paraId="1FCD65C6" w14:textId="77777777">
            <w:pPr>
              <w:pStyle w:val="Jin0"/>
              <w:shd w:val="clear" w:color="auto" w:fill="auto"/>
              <w:spacing w:after="0"/>
              <w:rPr>
                <w:rFonts w:ascii="Franklin Gothic Book" w:hAnsi="Franklin Gothic Book"/>
                <w:sz w:val="22"/>
                <w:szCs w:val="22"/>
              </w:rPr>
            </w:pPr>
            <w:r w:rsidRPr="001E39D7">
              <w:rPr>
                <w:rFonts w:ascii="Franklin Gothic Book" w:hAnsi="Franklin Gothic Book"/>
                <w:sz w:val="22"/>
                <w:szCs w:val="22"/>
              </w:rPr>
              <w:t>16</w:t>
            </w:r>
            <w:r w:rsidRPr="001E39D7" w:rsidR="00160D4C">
              <w:rPr>
                <w:rFonts w:ascii="Franklin Gothic Book" w:hAnsi="Franklin Gothic Book"/>
                <w:sz w:val="22"/>
                <w:szCs w:val="22"/>
              </w:rPr>
              <w:t>4</w:t>
            </w:r>
            <w:r w:rsidRPr="001E39D7">
              <w:rPr>
                <w:rFonts w:ascii="Franklin Gothic Book" w:hAnsi="Franklin Gothic Book"/>
                <w:sz w:val="22"/>
                <w:szCs w:val="22"/>
              </w:rPr>
              <w:t xml:space="preserve"> - </w:t>
            </w:r>
            <w:r w:rsidRPr="001E39D7" w:rsidR="00160D4C">
              <w:rPr>
                <w:rFonts w:ascii="Franklin Gothic Book" w:hAnsi="Franklin Gothic Book"/>
                <w:sz w:val="22"/>
                <w:szCs w:val="22"/>
              </w:rPr>
              <w:t>Péče o zvláště chráněná území a území soustavy Natura 2000 a péče o zvláště chráněné druhy rostlin a živočichů</w:t>
            </w:r>
          </w:p>
          <w:p w:rsidR="00D23979" w:rsidRPr="001E39D7" w:rsidP="00D23979" w14:paraId="6DD19EFD" w14:textId="5198CF2E">
            <w:pPr>
              <w:pStyle w:val="Jin0"/>
              <w:shd w:val="clear" w:color="auto" w:fill="auto"/>
              <w:spacing w:after="0"/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  <w:tr w14:paraId="29A6EAB2" w14:textId="77777777" w:rsidTr="00BE4C48">
        <w:tblPrEx>
          <w:tblW w:w="0" w:type="auto"/>
          <w:jc w:val="center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hRule="exact" w:val="573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65D" w:rsidRPr="001E39D7" w:rsidP="00FC5A08" w14:paraId="64400BA1" w14:textId="77777777">
            <w:pPr>
              <w:pStyle w:val="Jin0"/>
              <w:shd w:val="clear" w:color="auto" w:fill="auto"/>
              <w:spacing w:after="0"/>
              <w:rPr>
                <w:rFonts w:ascii="Franklin Gothic Book" w:hAnsi="Franklin Gothic Book"/>
                <w:sz w:val="22"/>
                <w:szCs w:val="22"/>
              </w:rPr>
            </w:pPr>
            <w:r w:rsidRPr="001E39D7">
              <w:rPr>
                <w:rFonts w:ascii="Franklin Gothic Book" w:hAnsi="Franklin Gothic Book"/>
                <w:sz w:val="22"/>
                <w:szCs w:val="22"/>
              </w:rPr>
              <w:t>Oprávnění příjemci podpory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65D" w:rsidRPr="001E39D7" w:rsidP="00FC5A08" w14:paraId="080B040C" w14:textId="03750303">
            <w:pPr>
              <w:pStyle w:val="Jin0"/>
              <w:shd w:val="clear" w:color="auto" w:fill="auto"/>
              <w:rPr>
                <w:rFonts w:ascii="Franklin Gothic Book" w:hAnsi="Franklin Gothic Book"/>
                <w:sz w:val="22"/>
                <w:szCs w:val="22"/>
              </w:rPr>
            </w:pPr>
            <w:r w:rsidRPr="001E39D7">
              <w:rPr>
                <w:rFonts w:ascii="Franklin Gothic Book" w:hAnsi="Franklin Gothic Book"/>
                <w:sz w:val="22"/>
                <w:szCs w:val="22"/>
              </w:rPr>
              <w:t>Agentura ochrany přírody a krajiny ČR, správy národních parků, Správa jeskyní ČR</w:t>
            </w:r>
          </w:p>
        </w:tc>
      </w:tr>
      <w:tr w14:paraId="03F2F60C" w14:textId="77777777" w:rsidTr="00FC5A08">
        <w:tblPrEx>
          <w:tblW w:w="0" w:type="auto"/>
          <w:jc w:val="center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hRule="exact" w:val="288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65D" w:rsidRPr="001E39D7" w:rsidP="00FC5A08" w14:paraId="03867A32" w14:textId="0884C162">
            <w:pPr>
              <w:pStyle w:val="Jin0"/>
              <w:shd w:val="clear" w:color="auto" w:fill="auto"/>
              <w:spacing w:after="0" w:line="240" w:lineRule="auto"/>
              <w:rPr>
                <w:rFonts w:ascii="Franklin Gothic Book" w:hAnsi="Franklin Gothic Book"/>
                <w:sz w:val="22"/>
                <w:szCs w:val="22"/>
              </w:rPr>
            </w:pPr>
            <w:r w:rsidRPr="001E39D7">
              <w:rPr>
                <w:rFonts w:ascii="Franklin Gothic Book" w:hAnsi="Franklin Gothic Book"/>
                <w:sz w:val="22"/>
                <w:szCs w:val="22"/>
              </w:rPr>
              <w:t>Termín vyhlášení výzvy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65D" w:rsidRPr="001E39D7" w:rsidP="009B06B2" w14:paraId="590A873C" w14:textId="4B309F64">
            <w:pPr>
              <w:pStyle w:val="Jin0"/>
              <w:shd w:val="clear" w:color="auto" w:fill="auto"/>
              <w:spacing w:after="0" w:line="240" w:lineRule="auto"/>
              <w:rPr>
                <w:rFonts w:ascii="Franklin Gothic Book" w:hAnsi="Franklin Gothic Book"/>
                <w:sz w:val="22"/>
                <w:szCs w:val="22"/>
              </w:rPr>
            </w:pPr>
            <w:r>
              <w:rPr>
                <w:rFonts w:ascii="Franklin Gothic Book" w:hAnsi="Franklin Gothic Book"/>
                <w:sz w:val="22"/>
                <w:szCs w:val="22"/>
              </w:rPr>
              <w:t>22</w:t>
            </w:r>
            <w:r w:rsidRPr="001E39D7">
              <w:rPr>
                <w:rFonts w:ascii="Franklin Gothic Book" w:hAnsi="Franklin Gothic Book"/>
                <w:sz w:val="22"/>
                <w:szCs w:val="22"/>
              </w:rPr>
              <w:t xml:space="preserve">. </w:t>
            </w:r>
            <w:r w:rsidRPr="001E39D7" w:rsidR="00D23979">
              <w:rPr>
                <w:rFonts w:ascii="Franklin Gothic Book" w:hAnsi="Franklin Gothic Book"/>
                <w:sz w:val="22"/>
                <w:szCs w:val="22"/>
              </w:rPr>
              <w:t>8</w:t>
            </w:r>
            <w:r w:rsidRPr="001E39D7">
              <w:rPr>
                <w:rFonts w:ascii="Franklin Gothic Book" w:hAnsi="Franklin Gothic Book"/>
                <w:sz w:val="22"/>
                <w:szCs w:val="22"/>
              </w:rPr>
              <w:t xml:space="preserve">. 2022, 0:00 h </w:t>
            </w:r>
          </w:p>
        </w:tc>
      </w:tr>
      <w:tr w14:paraId="7189254C" w14:textId="77777777" w:rsidTr="00FC5A08">
        <w:tblPrEx>
          <w:tblW w:w="0" w:type="auto"/>
          <w:jc w:val="center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hRule="exact" w:val="370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65D" w:rsidRPr="001E39D7" w:rsidP="00FC5A08" w14:paraId="1AD5D765" w14:textId="77777777">
            <w:pPr>
              <w:pStyle w:val="Jin0"/>
              <w:shd w:val="clear" w:color="auto" w:fill="auto"/>
              <w:spacing w:after="0" w:line="240" w:lineRule="auto"/>
              <w:rPr>
                <w:rFonts w:ascii="Franklin Gothic Book" w:hAnsi="Franklin Gothic Book"/>
                <w:sz w:val="22"/>
                <w:szCs w:val="22"/>
              </w:rPr>
            </w:pPr>
            <w:r w:rsidRPr="001E39D7">
              <w:rPr>
                <w:rFonts w:ascii="Franklin Gothic Book" w:hAnsi="Franklin Gothic Book"/>
                <w:sz w:val="22"/>
                <w:szCs w:val="22"/>
              </w:rPr>
              <w:t>Termín ukončení výzvy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65D" w:rsidRPr="001E39D7" w:rsidP="00C20956" w14:paraId="18B4F78A" w14:textId="13E66B2D">
            <w:pPr>
              <w:pStyle w:val="Jin0"/>
              <w:shd w:val="clear" w:color="auto" w:fill="auto"/>
              <w:spacing w:after="0" w:line="240" w:lineRule="auto"/>
              <w:rPr>
                <w:rFonts w:ascii="Franklin Gothic Book" w:hAnsi="Franklin Gothic Book"/>
                <w:sz w:val="22"/>
                <w:szCs w:val="22"/>
              </w:rPr>
            </w:pPr>
            <w:r w:rsidRPr="001E39D7">
              <w:rPr>
                <w:rFonts w:ascii="Franklin Gothic Book" w:hAnsi="Franklin Gothic Book"/>
                <w:sz w:val="22"/>
                <w:szCs w:val="22"/>
              </w:rPr>
              <w:t>31</w:t>
            </w:r>
            <w:r w:rsidRPr="001E39D7">
              <w:rPr>
                <w:rFonts w:ascii="Franklin Gothic Book" w:hAnsi="Franklin Gothic Book"/>
                <w:sz w:val="22"/>
                <w:szCs w:val="22"/>
              </w:rPr>
              <w:t xml:space="preserve">. </w:t>
            </w:r>
            <w:r w:rsidRPr="001E39D7">
              <w:rPr>
                <w:rFonts w:ascii="Franklin Gothic Book" w:hAnsi="Franklin Gothic Book"/>
                <w:sz w:val="22"/>
                <w:szCs w:val="22"/>
              </w:rPr>
              <w:t>1</w:t>
            </w:r>
            <w:r w:rsidRPr="001E39D7" w:rsidR="006E09FB">
              <w:rPr>
                <w:rFonts w:ascii="Franklin Gothic Book" w:hAnsi="Franklin Gothic Book"/>
                <w:sz w:val="22"/>
                <w:szCs w:val="22"/>
              </w:rPr>
              <w:t>2</w:t>
            </w:r>
            <w:r w:rsidRPr="001E39D7">
              <w:rPr>
                <w:rFonts w:ascii="Franklin Gothic Book" w:hAnsi="Franklin Gothic Book"/>
                <w:sz w:val="22"/>
                <w:szCs w:val="22"/>
              </w:rPr>
              <w:t xml:space="preserve">. </w:t>
            </w:r>
            <w:r w:rsidRPr="001E39D7" w:rsidR="00065875">
              <w:rPr>
                <w:rFonts w:ascii="Franklin Gothic Book" w:hAnsi="Franklin Gothic Book"/>
                <w:sz w:val="22"/>
                <w:szCs w:val="22"/>
              </w:rPr>
              <w:t>202</w:t>
            </w:r>
            <w:r w:rsidRPr="001E39D7">
              <w:rPr>
                <w:rFonts w:ascii="Franklin Gothic Book" w:hAnsi="Franklin Gothic Book"/>
                <w:sz w:val="22"/>
                <w:szCs w:val="22"/>
              </w:rPr>
              <w:t>5</w:t>
            </w:r>
            <w:r w:rsidRPr="001E39D7">
              <w:rPr>
                <w:rFonts w:ascii="Franklin Gothic Book" w:hAnsi="Franklin Gothic Book"/>
                <w:sz w:val="22"/>
                <w:szCs w:val="22"/>
              </w:rPr>
              <w:t>, 23:59 h</w:t>
            </w:r>
            <w:r w:rsidRPr="001E39D7" w:rsidR="00B9019A">
              <w:rPr>
                <w:rFonts w:ascii="Franklin Gothic Book" w:hAnsi="Franklin Gothic Book"/>
                <w:sz w:val="22"/>
                <w:szCs w:val="22"/>
              </w:rPr>
              <w:t xml:space="preserve"> nebo do vyčerpání alokace</w:t>
            </w:r>
          </w:p>
        </w:tc>
      </w:tr>
      <w:tr w14:paraId="1D06DEB4" w14:textId="77777777" w:rsidTr="00FC5A08">
        <w:tblPrEx>
          <w:tblW w:w="0" w:type="auto"/>
          <w:jc w:val="center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hRule="exact" w:val="370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3786" w:rsidRPr="001E39D7" w:rsidP="00FC5A08" w14:paraId="70EB464B" w14:textId="504A85AA">
            <w:pPr>
              <w:pStyle w:val="Jin0"/>
              <w:shd w:val="clear" w:color="auto" w:fill="auto"/>
              <w:spacing w:after="0" w:line="240" w:lineRule="auto"/>
              <w:rPr>
                <w:rFonts w:ascii="Franklin Gothic Book" w:hAnsi="Franklin Gothic Book"/>
                <w:sz w:val="22"/>
                <w:szCs w:val="22"/>
              </w:rPr>
            </w:pPr>
            <w:r w:rsidRPr="001E39D7">
              <w:rPr>
                <w:rFonts w:ascii="Franklin Gothic Book" w:hAnsi="Franklin Gothic Book"/>
                <w:sz w:val="22"/>
                <w:szCs w:val="22"/>
              </w:rPr>
              <w:t>Cílové území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3786" w:rsidRPr="001E39D7" w:rsidP="0036565D" w14:paraId="0CF48E61" w14:textId="383A7A03">
            <w:pPr>
              <w:pStyle w:val="Jin0"/>
              <w:shd w:val="clear" w:color="auto" w:fill="auto"/>
              <w:spacing w:after="0" w:line="240" w:lineRule="auto"/>
              <w:rPr>
                <w:rFonts w:ascii="Franklin Gothic Book" w:hAnsi="Franklin Gothic Book"/>
                <w:sz w:val="22"/>
                <w:szCs w:val="22"/>
              </w:rPr>
            </w:pPr>
            <w:r w:rsidRPr="001E39D7">
              <w:rPr>
                <w:rFonts w:ascii="Franklin Gothic Book" w:hAnsi="Franklin Gothic Book"/>
                <w:sz w:val="22"/>
                <w:szCs w:val="22"/>
              </w:rPr>
              <w:t>Celá Česká republika</w:t>
            </w:r>
          </w:p>
        </w:tc>
      </w:tr>
      <w:tr w14:paraId="5AB5D8A4" w14:textId="77777777" w:rsidTr="0080099A">
        <w:tblPrEx>
          <w:tblW w:w="0" w:type="auto"/>
          <w:jc w:val="center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hRule="exact" w:val="1541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65D" w:rsidRPr="001E39D7" w:rsidP="00FC5A08" w14:paraId="3568CF58" w14:textId="3A1E842E">
            <w:pPr>
              <w:pStyle w:val="Jin0"/>
              <w:shd w:val="clear" w:color="auto" w:fill="auto"/>
              <w:spacing w:after="0"/>
              <w:rPr>
                <w:rFonts w:ascii="Franklin Gothic Book" w:hAnsi="Franklin Gothic Book"/>
                <w:sz w:val="22"/>
                <w:szCs w:val="22"/>
              </w:rPr>
            </w:pPr>
            <w:r w:rsidRPr="001E39D7">
              <w:rPr>
                <w:rFonts w:ascii="Franklin Gothic Book" w:hAnsi="Franklin Gothic Book"/>
                <w:sz w:val="22"/>
                <w:szCs w:val="22"/>
              </w:rPr>
              <w:t>Výše podpory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65D" w:rsidRPr="001E39D7" w:rsidP="00FC5A08" w14:paraId="10E72AD4" w14:textId="77777777">
            <w:pPr>
              <w:pStyle w:val="Jin0"/>
              <w:shd w:val="clear" w:color="auto" w:fill="auto"/>
              <w:spacing w:after="0"/>
              <w:rPr>
                <w:rFonts w:ascii="Franklin Gothic Book" w:hAnsi="Franklin Gothic Book"/>
                <w:sz w:val="22"/>
                <w:szCs w:val="22"/>
              </w:rPr>
            </w:pPr>
            <w:r w:rsidRPr="001E39D7">
              <w:rPr>
                <w:rFonts w:ascii="Franklin Gothic Book" w:hAnsi="Franklin Gothic Book"/>
                <w:sz w:val="22"/>
                <w:szCs w:val="22"/>
              </w:rPr>
              <w:t>Výše podpory je poskytována až do výše 100 % celkových způsobilých výdajů.</w:t>
            </w:r>
          </w:p>
          <w:p w:rsidR="0036565D" w:rsidRPr="001E39D7" w:rsidP="0036565D" w14:paraId="0F62C1EA" w14:textId="1D0758B0">
            <w:pPr>
              <w:pStyle w:val="Jin0"/>
              <w:shd w:val="clear" w:color="auto" w:fill="auto"/>
              <w:spacing w:after="0"/>
              <w:rPr>
                <w:rFonts w:ascii="Franklin Gothic Book" w:hAnsi="Franklin Gothic Book"/>
                <w:sz w:val="22"/>
                <w:szCs w:val="22"/>
              </w:rPr>
            </w:pPr>
            <w:r w:rsidRPr="001E39D7">
              <w:rPr>
                <w:rFonts w:ascii="Franklin Gothic Book" w:hAnsi="Franklin Gothic Book"/>
                <w:sz w:val="22"/>
                <w:szCs w:val="22"/>
              </w:rPr>
              <w:t xml:space="preserve">Minimální výše dotace na jednu žádost není stanovena. Maximální výše dotace </w:t>
            </w:r>
            <w:r w:rsidRPr="001E39D7" w:rsidR="00DD48BE">
              <w:rPr>
                <w:rFonts w:ascii="Franklin Gothic Book" w:hAnsi="Franklin Gothic Book"/>
                <w:sz w:val="22"/>
                <w:szCs w:val="22"/>
              </w:rPr>
              <w:t>na jednu žádost není stanovena.</w:t>
            </w:r>
          </w:p>
        </w:tc>
      </w:tr>
      <w:tr w14:paraId="4879EDD7" w14:textId="77777777" w:rsidTr="007C3D33">
        <w:tblPrEx>
          <w:tblW w:w="0" w:type="auto"/>
          <w:jc w:val="center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hRule="exact" w:val="559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65D" w:rsidRPr="001E39D7" w:rsidP="00FC5A08" w14:paraId="0D44F2FC" w14:textId="1E92942C">
            <w:pPr>
              <w:pStyle w:val="Jin0"/>
              <w:shd w:val="clear" w:color="auto" w:fill="auto"/>
              <w:spacing w:after="0" w:line="240" w:lineRule="auto"/>
              <w:rPr>
                <w:rFonts w:ascii="Franklin Gothic Book" w:hAnsi="Franklin Gothic Book"/>
                <w:sz w:val="22"/>
                <w:szCs w:val="22"/>
              </w:rPr>
            </w:pPr>
            <w:r w:rsidRPr="001E39D7">
              <w:rPr>
                <w:rFonts w:ascii="Franklin Gothic Book" w:hAnsi="Franklin Gothic Book"/>
                <w:sz w:val="22"/>
                <w:szCs w:val="22"/>
              </w:rPr>
              <w:t>Alokace</w:t>
            </w:r>
          </w:p>
          <w:p w:rsidR="0036565D" w:rsidRPr="001E39D7" w:rsidP="00FC5A08" w14:paraId="292A5423" w14:textId="77777777">
            <w:pPr>
              <w:pStyle w:val="Jin0"/>
              <w:shd w:val="clear" w:color="auto" w:fill="auto"/>
              <w:spacing w:after="0" w:line="240" w:lineRule="auto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203" w:rsidRPr="001E39D7" w:rsidP="00EA4F91" w14:paraId="2539B7B1" w14:textId="77777777">
            <w:pPr>
              <w:pStyle w:val="Jin0"/>
              <w:shd w:val="clear" w:color="auto" w:fill="auto"/>
              <w:spacing w:after="0" w:line="240" w:lineRule="auto"/>
              <w:rPr>
                <w:rFonts w:ascii="Franklin Gothic Book" w:hAnsi="Franklin Gothic Book"/>
                <w:sz w:val="22"/>
                <w:szCs w:val="22"/>
              </w:rPr>
            </w:pPr>
            <w:r w:rsidRPr="001E39D7">
              <w:rPr>
                <w:rFonts w:ascii="Franklin Gothic Book" w:hAnsi="Franklin Gothic Book"/>
                <w:sz w:val="22"/>
                <w:szCs w:val="22"/>
              </w:rPr>
              <w:t>na rok 2022: 156 000 000,- Kč bez DPH</w:t>
            </w:r>
          </w:p>
          <w:p w:rsidR="0036565D" w:rsidRPr="001E39D7" w:rsidP="00EA4F91" w14:paraId="5BE70364" w14:textId="4C746BB3">
            <w:pPr>
              <w:pStyle w:val="Jin0"/>
              <w:shd w:val="clear" w:color="auto" w:fill="auto"/>
              <w:spacing w:after="0" w:line="240" w:lineRule="auto"/>
              <w:rPr>
                <w:rFonts w:ascii="Franklin Gothic Book" w:hAnsi="Franklin Gothic Book"/>
                <w:sz w:val="22"/>
                <w:szCs w:val="22"/>
              </w:rPr>
            </w:pPr>
            <w:r w:rsidRPr="001E39D7">
              <w:rPr>
                <w:rFonts w:ascii="Franklin Gothic Book" w:hAnsi="Franklin Gothic Book"/>
                <w:sz w:val="22"/>
                <w:szCs w:val="22"/>
              </w:rPr>
              <w:t>na rok 2022: 18 000 000,- Kč na DPH</w:t>
            </w:r>
          </w:p>
        </w:tc>
      </w:tr>
      <w:tr w14:paraId="5EF197F3" w14:textId="77777777" w:rsidTr="007C3D33">
        <w:tblPrEx>
          <w:tblW w:w="0" w:type="auto"/>
          <w:jc w:val="center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hRule="exact" w:val="851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D33" w:rsidRPr="001E39D7" w:rsidP="00FC5A08" w14:paraId="45324374" w14:textId="77A2F7E4">
            <w:pPr>
              <w:pStyle w:val="Jin0"/>
              <w:shd w:val="clear" w:color="auto" w:fill="auto"/>
              <w:spacing w:after="0" w:line="240" w:lineRule="auto"/>
              <w:rPr>
                <w:rFonts w:ascii="Franklin Gothic Book" w:hAnsi="Franklin Gothic Book"/>
                <w:sz w:val="22"/>
                <w:szCs w:val="22"/>
              </w:rPr>
            </w:pPr>
            <w:r w:rsidRPr="001E39D7">
              <w:rPr>
                <w:rFonts w:ascii="Franklin Gothic Book" w:hAnsi="Franklin Gothic Book"/>
                <w:sz w:val="22"/>
                <w:szCs w:val="22"/>
              </w:rPr>
              <w:t>Číslo podprogramu v SMVS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D33" w:rsidRPr="001E39D7" w:rsidP="00FC5A08" w14:paraId="52C5B498" w14:textId="5B5CCED2">
            <w:pPr>
              <w:pStyle w:val="Jin0"/>
              <w:shd w:val="clear" w:color="auto" w:fill="auto"/>
              <w:spacing w:after="0" w:line="240" w:lineRule="auto"/>
              <w:rPr>
                <w:rFonts w:ascii="Franklin Gothic Book" w:hAnsi="Franklin Gothic Book"/>
                <w:sz w:val="22"/>
                <w:szCs w:val="22"/>
              </w:rPr>
            </w:pPr>
            <w:r w:rsidRPr="001E39D7">
              <w:rPr>
                <w:rFonts w:ascii="Franklin Gothic Book" w:hAnsi="Franklin Gothic Book"/>
                <w:sz w:val="22"/>
                <w:szCs w:val="22"/>
              </w:rPr>
              <w:t>Program: 115 34</w:t>
            </w:r>
          </w:p>
          <w:p w:rsidR="007C3D33" w:rsidRPr="001E39D7" w:rsidP="00FC5A08" w14:paraId="00F93722" w14:textId="47A2B3C2">
            <w:pPr>
              <w:pStyle w:val="Jin0"/>
              <w:shd w:val="clear" w:color="auto" w:fill="auto"/>
              <w:spacing w:after="0" w:line="240" w:lineRule="auto"/>
              <w:rPr>
                <w:rFonts w:ascii="Franklin Gothic Book" w:hAnsi="Franklin Gothic Book"/>
                <w:sz w:val="22"/>
                <w:szCs w:val="22"/>
              </w:rPr>
            </w:pPr>
            <w:r w:rsidRPr="001E39D7">
              <w:rPr>
                <w:rFonts w:ascii="Franklin Gothic Book" w:hAnsi="Franklin Gothic Book"/>
                <w:sz w:val="22"/>
                <w:szCs w:val="22"/>
              </w:rPr>
              <w:t>Titul: 115V34</w:t>
            </w:r>
          </w:p>
          <w:p w:rsidR="007C3D33" w:rsidRPr="001E39D7" w:rsidP="00FC5A08" w14:paraId="34529381" w14:textId="10B440D3">
            <w:pPr>
              <w:pStyle w:val="Jin0"/>
              <w:shd w:val="clear" w:color="auto" w:fill="auto"/>
              <w:spacing w:after="0" w:line="240" w:lineRule="auto"/>
              <w:rPr>
                <w:rFonts w:ascii="Franklin Gothic Book" w:hAnsi="Franklin Gothic Book"/>
                <w:sz w:val="22"/>
                <w:szCs w:val="22"/>
              </w:rPr>
            </w:pPr>
            <w:r w:rsidRPr="001E39D7">
              <w:rPr>
                <w:rFonts w:ascii="Franklin Gothic Book" w:hAnsi="Franklin Gothic Book"/>
                <w:sz w:val="22"/>
                <w:szCs w:val="22"/>
              </w:rPr>
              <w:t>Podprogram 164</w:t>
            </w:r>
            <w:r w:rsidRPr="001E39D7">
              <w:rPr>
                <w:rFonts w:ascii="Franklin Gothic Book" w:hAnsi="Franklin Gothic Book"/>
                <w:sz w:val="22"/>
                <w:szCs w:val="22"/>
              </w:rPr>
              <w:t>: 115V3420</w:t>
            </w:r>
          </w:p>
        </w:tc>
      </w:tr>
    </w:tbl>
    <w:p w:rsidR="0036565D" w:rsidP="009207DA" w14:paraId="267C62BA" w14:textId="69D7BB19">
      <w:pPr>
        <w:pStyle w:val="Heading1"/>
      </w:pPr>
      <w:r>
        <w:t>Cíl výzvy a oblasti podpory</w:t>
      </w:r>
    </w:p>
    <w:p w:rsidR="0036565D" w:rsidRPr="00E56B45" w:rsidP="003C76E8" w14:paraId="4A90D6B6" w14:textId="4DE031E1">
      <w:pPr>
        <w:pStyle w:val="Heading2"/>
      </w:pPr>
      <w:r w:rsidRPr="00E56B45">
        <w:t>Cílem Výzvy je zajištění povinností orgánů ochrany přírody ve vztahu k zvláště chráněným územím, soustavě Natura 2000 a zajišťování opatření k podpoře předmětů ochrany</w:t>
      </w:r>
      <w:r w:rsidR="00AD744C">
        <w:t>.</w:t>
      </w:r>
      <w:r w:rsidRPr="00E56B45">
        <w:t xml:space="preserve"> </w:t>
      </w:r>
      <w:r w:rsidR="00AD744C">
        <w:t>R</w:t>
      </w:r>
      <w:r w:rsidRPr="00E56B45">
        <w:t>ealizace a příprava záchranných programů a programů péče o zvláště chráněné druhy rostlin a živočichů a regionálních akčních plánů</w:t>
      </w:r>
      <w:r w:rsidR="00891285">
        <w:t>.</w:t>
      </w:r>
      <w:r w:rsidRPr="00E56B45">
        <w:t xml:space="preserve"> </w:t>
      </w:r>
      <w:r w:rsidR="00891285">
        <w:t>O</w:t>
      </w:r>
      <w:r w:rsidRPr="00E56B45">
        <w:t>patření k regulaci šíření invazních druhů</w:t>
      </w:r>
      <w:r w:rsidR="00891285">
        <w:t xml:space="preserve"> a</w:t>
      </w:r>
      <w:r w:rsidRPr="00E56B45">
        <w:t xml:space="preserve"> adaptační opatření pro zmírnění dopadů klimatické změny na vodní, nelesní a lesní ekosystémy ve zvláště chráněných územích a lokalitách soustavy Natura 2000</w:t>
      </w:r>
      <w:r w:rsidR="00891285">
        <w:t>. Z</w:t>
      </w:r>
      <w:r w:rsidRPr="00E56B45">
        <w:t xml:space="preserve">ajištění podkladových materiálů </w:t>
      </w:r>
      <w:r w:rsidR="00891285">
        <w:t xml:space="preserve">a odborných studií </w:t>
      </w:r>
      <w:r w:rsidR="008B7FF4">
        <w:t xml:space="preserve">za účelem prohloubení znalostí o určitém území či fenoménu a využití získaných poznatků k jeho efektivnější ochraně, jako podklad pro </w:t>
      </w:r>
      <w:r w:rsidR="008B7FF4">
        <w:t>managementové</w:t>
      </w:r>
      <w:r w:rsidR="008B7FF4">
        <w:t xml:space="preserve"> plány či vyhodnocení efektivnosti programů a realizovaných opatření z hlediska jejich ekologického přínosu.</w:t>
      </w:r>
    </w:p>
    <w:p w:rsidR="006E09FB" w:rsidP="00631FF1" w14:paraId="62095BAC" w14:textId="77777777"/>
    <w:p w:rsidR="00631FF1" w:rsidP="003C76E8" w14:paraId="02E3DBB4" w14:textId="41588E87">
      <w:pPr>
        <w:spacing w:line="276" w:lineRule="auto"/>
      </w:pPr>
      <w:r>
        <w:t xml:space="preserve">Detailní popis podporovaných opatření je uveden </w:t>
      </w:r>
      <w:r w:rsidR="001310D7">
        <w:t xml:space="preserve">v Dokumentaci programu a </w:t>
      </w:r>
      <w:r>
        <w:t>v</w:t>
      </w:r>
      <w:r w:rsidR="006E09FB">
        <w:t>e Směrnici č. 7/2022</w:t>
      </w:r>
      <w:r>
        <w:t>, kter</w:t>
      </w:r>
      <w:r w:rsidR="001310D7">
        <w:t>é</w:t>
      </w:r>
      <w:r>
        <w:t xml:space="preserve"> j</w:t>
      </w:r>
      <w:r w:rsidR="001310D7">
        <w:t>sou</w:t>
      </w:r>
      <w:r>
        <w:t xml:space="preserve"> přílohou č. 1 </w:t>
      </w:r>
      <w:r w:rsidR="001310D7">
        <w:t xml:space="preserve">a č. 2 </w:t>
      </w:r>
      <w:r>
        <w:t>této Výzvy</w:t>
      </w:r>
      <w:r w:rsidR="00E5458C">
        <w:t xml:space="preserve"> (dále též jen Dokumentace a Směrnice)</w:t>
      </w:r>
      <w:r>
        <w:t xml:space="preserve">. </w:t>
      </w:r>
    </w:p>
    <w:p w:rsidR="00F10270" w:rsidP="003C76E8" w14:paraId="23E54268" w14:textId="36356637">
      <w:pPr>
        <w:pStyle w:val="Heading1"/>
        <w:spacing w:line="276" w:lineRule="auto"/>
      </w:pPr>
      <w:r>
        <w:t>Oprávnění žadatelé</w:t>
      </w:r>
    </w:p>
    <w:p w:rsidR="00F10270" w:rsidP="003C76E8" w14:paraId="08C3DA22" w14:textId="331D2E2C">
      <w:pPr>
        <w:spacing w:line="276" w:lineRule="auto"/>
        <w:rPr>
          <w:rFonts w:cstheme="minorHAnsi"/>
        </w:rPr>
      </w:pPr>
      <w:r>
        <w:rPr>
          <w:rFonts w:cstheme="minorHAnsi"/>
        </w:rPr>
        <w:t>S</w:t>
      </w:r>
      <w:r w:rsidRPr="00E9753A">
        <w:rPr>
          <w:rFonts w:cstheme="minorHAnsi"/>
        </w:rPr>
        <w:t>práv</w:t>
      </w:r>
      <w:r w:rsidR="001310D7">
        <w:rPr>
          <w:rFonts w:cstheme="minorHAnsi"/>
        </w:rPr>
        <w:t xml:space="preserve">y </w:t>
      </w:r>
      <w:r w:rsidRPr="00E9753A">
        <w:rPr>
          <w:rFonts w:cstheme="minorHAnsi"/>
        </w:rPr>
        <w:t>národních</w:t>
      </w:r>
      <w:r w:rsidRPr="00F10270">
        <w:rPr>
          <w:rFonts w:cstheme="minorHAnsi"/>
        </w:rPr>
        <w:t xml:space="preserve"> parků, Správ</w:t>
      </w:r>
      <w:r>
        <w:rPr>
          <w:rFonts w:cstheme="minorHAnsi"/>
        </w:rPr>
        <w:t>a</w:t>
      </w:r>
      <w:r w:rsidRPr="00F10270">
        <w:rPr>
          <w:rFonts w:cstheme="minorHAnsi"/>
        </w:rPr>
        <w:t xml:space="preserve"> </w:t>
      </w:r>
      <w:r>
        <w:rPr>
          <w:rFonts w:cstheme="minorHAnsi"/>
        </w:rPr>
        <w:t>jeskyní ČR a Agentur</w:t>
      </w:r>
      <w:r>
        <w:rPr>
          <w:rFonts w:cstheme="minorHAnsi"/>
        </w:rPr>
        <w:t>a</w:t>
      </w:r>
      <w:r w:rsidRPr="00F10270">
        <w:rPr>
          <w:rFonts w:cstheme="minorHAnsi"/>
        </w:rPr>
        <w:t xml:space="preserve"> ochrany přírody a krajiny ČR.</w:t>
      </w:r>
    </w:p>
    <w:p w:rsidR="005A4541" w:rsidRPr="00E67A08" w:rsidP="003C76E8" w14:paraId="1C0E9BA5" w14:textId="00B20A3C">
      <w:pPr>
        <w:pStyle w:val="Heading1"/>
        <w:spacing w:line="276" w:lineRule="auto"/>
      </w:pPr>
      <w:r w:rsidRPr="00E67A08">
        <w:t>Alokace a DPH</w:t>
      </w:r>
    </w:p>
    <w:p w:rsidR="00175835" w:rsidRPr="00175835" w:rsidP="003C76E8" w14:paraId="36D21592" w14:textId="5BEF6E52">
      <w:pPr>
        <w:spacing w:after="200" w:line="276" w:lineRule="auto"/>
      </w:pPr>
      <w:r>
        <w:t xml:space="preserve">Celková alokace </w:t>
      </w:r>
      <w:r w:rsidR="00F21655">
        <w:t>pod</w:t>
      </w:r>
      <w:r>
        <w:t xml:space="preserve">programu </w:t>
      </w:r>
      <w:r w:rsidR="00F21655">
        <w:t xml:space="preserve">164 </w:t>
      </w:r>
      <w:r>
        <w:t xml:space="preserve">pro resortní organizace na letošní rok je včetně navýšení 156 000 000,-Kč. </w:t>
      </w:r>
      <w:r w:rsidR="005541D5">
        <w:t>Celková poskytnutá podpora připadající na jednoho žadatele se řídí limitem zaslaným dopisem MŽP jednotlivým resortním organizacím.</w:t>
      </w:r>
    </w:p>
    <w:p w:rsidR="00F31879" w:rsidP="003C76E8" w14:paraId="48A8A847" w14:textId="6D93D2A5">
      <w:pPr>
        <w:spacing w:line="276" w:lineRule="auto"/>
      </w:pPr>
      <w:r>
        <w:t>Celková výše prostředků ze státního rozpočtu na DPH pro rezortní organizace na letošní rok je 18 000 000 mil. Kč</w:t>
      </w:r>
      <w:r w:rsidR="00FD6A66">
        <w:t xml:space="preserve"> a tyto prostředky bude možné čerpat až do doby vyčerpání této alokace.</w:t>
      </w:r>
    </w:p>
    <w:p w:rsidR="00862379" w:rsidP="003C76E8" w14:paraId="7EB3F707" w14:textId="725B8F65">
      <w:pPr>
        <w:spacing w:line="276" w:lineRule="auto"/>
        <w:rPr>
          <w:rFonts w:cstheme="minorHAnsi"/>
        </w:rPr>
      </w:pPr>
      <w:r>
        <w:rPr>
          <w:rFonts w:cstheme="minorHAnsi"/>
        </w:rPr>
        <w:t xml:space="preserve">V SMVS </w:t>
      </w:r>
      <w:r w:rsidR="001858BC">
        <w:rPr>
          <w:rFonts w:cstheme="minorHAnsi"/>
        </w:rPr>
        <w:t>budou jednotlivé položky vedeny na následujících řádcích:</w:t>
      </w:r>
    </w:p>
    <w:p w:rsidR="001858BC" w:rsidP="003C76E8" w14:paraId="3D98FA2C" w14:textId="0F15A2F4">
      <w:pPr>
        <w:spacing w:after="0" w:line="276" w:lineRule="auto"/>
        <w:rPr>
          <w:rFonts w:cstheme="minorHAnsi"/>
        </w:rPr>
      </w:pPr>
      <w:r>
        <w:rPr>
          <w:rFonts w:cstheme="minorHAnsi"/>
        </w:rPr>
        <w:t>5570</w:t>
      </w:r>
      <w:r>
        <w:rPr>
          <w:rFonts w:cstheme="minorHAnsi"/>
        </w:rPr>
        <w:tab/>
        <w:t>DPH</w:t>
      </w:r>
      <w:r>
        <w:rPr>
          <w:rFonts w:cstheme="minorHAnsi"/>
        </w:rPr>
        <w:tab/>
      </w:r>
      <w:r>
        <w:rPr>
          <w:rFonts w:cstheme="minorHAnsi"/>
        </w:rPr>
        <w:t>neinvestice</w:t>
      </w:r>
      <w:r>
        <w:rPr>
          <w:rFonts w:cstheme="minorHAnsi"/>
        </w:rPr>
        <w:tab/>
        <w:t>Výdaj SR</w:t>
      </w:r>
      <w:r>
        <w:rPr>
          <w:rFonts w:cstheme="minorHAnsi"/>
        </w:rPr>
        <w:tab/>
      </w:r>
      <w:r>
        <w:rPr>
          <w:rFonts w:cstheme="minorHAnsi"/>
        </w:rPr>
        <w:tab/>
        <w:t>zdroj 11</w:t>
      </w:r>
      <w:r w:rsidR="003621E8">
        <w:rPr>
          <w:rFonts w:cstheme="minorHAnsi"/>
        </w:rPr>
        <w:t>17029</w:t>
      </w:r>
    </w:p>
    <w:p w:rsidR="001858BC" w:rsidP="003C76E8" w14:paraId="217B2014" w14:textId="4BE26182">
      <w:pPr>
        <w:spacing w:after="0" w:line="276" w:lineRule="auto"/>
        <w:rPr>
          <w:rFonts w:cstheme="minorHAnsi"/>
        </w:rPr>
      </w:pPr>
      <w:r>
        <w:rPr>
          <w:rFonts w:cstheme="minorHAnsi"/>
        </w:rPr>
        <w:t>6570</w:t>
      </w:r>
      <w:r>
        <w:rPr>
          <w:rFonts w:cstheme="minorHAnsi"/>
        </w:rPr>
        <w:tab/>
        <w:t>DPH</w:t>
      </w:r>
      <w:r>
        <w:rPr>
          <w:rFonts w:cstheme="minorHAnsi"/>
        </w:rPr>
        <w:tab/>
        <w:t>investice</w:t>
      </w:r>
      <w:r>
        <w:rPr>
          <w:rFonts w:cstheme="minorHAnsi"/>
        </w:rPr>
        <w:tab/>
        <w:t>Výdaj SR</w:t>
      </w:r>
      <w:r>
        <w:rPr>
          <w:rFonts w:cstheme="minorHAnsi"/>
        </w:rPr>
        <w:tab/>
      </w:r>
      <w:r>
        <w:rPr>
          <w:rFonts w:cstheme="minorHAnsi"/>
        </w:rPr>
        <w:tab/>
        <w:t>zdroj 11</w:t>
      </w:r>
      <w:r w:rsidR="003621E8">
        <w:rPr>
          <w:rFonts w:cstheme="minorHAnsi"/>
        </w:rPr>
        <w:t>17029</w:t>
      </w:r>
    </w:p>
    <w:p w:rsidR="001858BC" w:rsidP="003C76E8" w14:paraId="2B940645" w14:textId="78ADF3D2">
      <w:pPr>
        <w:spacing w:after="0" w:line="276" w:lineRule="auto"/>
        <w:rPr>
          <w:rFonts w:cstheme="minorHAnsi"/>
        </w:rPr>
      </w:pPr>
      <w:r>
        <w:rPr>
          <w:rFonts w:cstheme="minorHAnsi"/>
        </w:rPr>
        <w:t>5575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>neinvestice</w:t>
      </w:r>
      <w:r>
        <w:rPr>
          <w:rFonts w:cstheme="minorHAnsi"/>
        </w:rPr>
        <w:tab/>
        <w:t>výdaj uznatelný EU</w:t>
      </w:r>
      <w:r>
        <w:rPr>
          <w:rFonts w:cstheme="minorHAnsi"/>
        </w:rPr>
        <w:tab/>
        <w:t>zdroj 1517029</w:t>
      </w:r>
    </w:p>
    <w:p w:rsidR="001858BC" w:rsidP="003C76E8" w14:paraId="446FA544" w14:textId="5DD15334">
      <w:pPr>
        <w:spacing w:after="0" w:line="276" w:lineRule="auto"/>
        <w:rPr>
          <w:rFonts w:cstheme="minorHAnsi"/>
        </w:rPr>
      </w:pPr>
      <w:r>
        <w:rPr>
          <w:rFonts w:cstheme="minorHAnsi"/>
        </w:rPr>
        <w:t>6575</w:t>
      </w:r>
      <w:r>
        <w:rPr>
          <w:rFonts w:cstheme="minorHAnsi"/>
        </w:rPr>
        <w:tab/>
      </w:r>
      <w:r>
        <w:rPr>
          <w:rFonts w:cstheme="minorHAnsi"/>
        </w:rPr>
        <w:tab/>
        <w:t>investice</w:t>
      </w:r>
      <w:r>
        <w:rPr>
          <w:rFonts w:cstheme="minorHAnsi"/>
        </w:rPr>
        <w:tab/>
        <w:t>výdaj uznatelný EU</w:t>
      </w:r>
      <w:r>
        <w:rPr>
          <w:rFonts w:cstheme="minorHAnsi"/>
        </w:rPr>
        <w:tab/>
        <w:t>zdroj 1517029</w:t>
      </w:r>
    </w:p>
    <w:p w:rsidR="001858BC" w:rsidP="003C76E8" w14:paraId="4271C85C" w14:textId="77777777">
      <w:pPr>
        <w:spacing w:line="276" w:lineRule="auto"/>
        <w:rPr>
          <w:rFonts w:cstheme="minorHAnsi"/>
        </w:rPr>
      </w:pPr>
    </w:p>
    <w:p w:rsidR="00F31879" w:rsidP="003C76E8" w14:paraId="587E6036" w14:textId="17D42626">
      <w:pPr>
        <w:pStyle w:val="Heading1"/>
        <w:spacing w:line="276" w:lineRule="auto"/>
      </w:pPr>
      <w:r w:rsidRPr="00C07DA8">
        <w:t>Indikátory a parametry</w:t>
      </w:r>
    </w:p>
    <w:p w:rsidR="00C07DA8" w:rsidRPr="00E62587" w:rsidP="003C76E8" w14:paraId="57050C33" w14:textId="2287F2CD">
      <w:pPr>
        <w:spacing w:line="276" w:lineRule="auto"/>
        <w:rPr>
          <w:rFonts w:cstheme="minorHAnsi"/>
        </w:rPr>
      </w:pPr>
      <w:r w:rsidRPr="00E62587">
        <w:rPr>
          <w:rFonts w:cstheme="minorHAnsi"/>
        </w:rPr>
        <w:t xml:space="preserve">Žadatel předloží v žádosti </w:t>
      </w:r>
      <w:r w:rsidR="00233DFA">
        <w:rPr>
          <w:rFonts w:cstheme="minorHAnsi"/>
        </w:rPr>
        <w:t xml:space="preserve">vyplněnou hodnotu </w:t>
      </w:r>
      <w:r w:rsidRPr="00E62587">
        <w:rPr>
          <w:rFonts w:cstheme="minorHAnsi"/>
        </w:rPr>
        <w:t>indikátor</w:t>
      </w:r>
      <w:r w:rsidR="00233DFA">
        <w:rPr>
          <w:rFonts w:cstheme="minorHAnsi"/>
        </w:rPr>
        <w:t>u</w:t>
      </w:r>
      <w:r w:rsidRPr="00E62587">
        <w:rPr>
          <w:rFonts w:cstheme="minorHAnsi"/>
        </w:rPr>
        <w:t xml:space="preserve"> a </w:t>
      </w:r>
      <w:r w:rsidR="002655BC">
        <w:rPr>
          <w:rFonts w:cstheme="minorHAnsi"/>
        </w:rPr>
        <w:t xml:space="preserve">výčet </w:t>
      </w:r>
      <w:r w:rsidRPr="00E62587">
        <w:rPr>
          <w:rFonts w:cstheme="minorHAnsi"/>
        </w:rPr>
        <w:t>parametrů, které jsou v rámci předkládaného projektu relevantní (je vyžadován minimálně jeden parametr).</w:t>
      </w:r>
    </w:p>
    <w:tbl>
      <w:tblPr>
        <w:tblStyle w:val="TableGrid"/>
        <w:tblW w:w="8647" w:type="dxa"/>
        <w:tblInd w:w="279" w:type="dxa"/>
        <w:tblLook w:val="04A0"/>
      </w:tblPr>
      <w:tblGrid>
        <w:gridCol w:w="5386"/>
        <w:gridCol w:w="1418"/>
        <w:gridCol w:w="1843"/>
      </w:tblGrid>
      <w:tr w14:paraId="21B23501" w14:textId="77777777" w:rsidTr="00200F30">
        <w:tblPrEx>
          <w:tblW w:w="8647" w:type="dxa"/>
          <w:tblInd w:w="279" w:type="dxa"/>
          <w:tblLook w:val="04A0"/>
        </w:tblPrEx>
        <w:tc>
          <w:tcPr>
            <w:tcW w:w="5386" w:type="dxa"/>
            <w:shd w:val="clear" w:color="auto" w:fill="EE555D" w:themeFill="accent4" w:themeFillTint="99"/>
            <w:vAlign w:val="center"/>
          </w:tcPr>
          <w:p w:rsidR="00200F30" w:rsidRPr="008F02D7" w:rsidP="00584884" w14:paraId="312AE0A3" w14:textId="77777777">
            <w:pPr>
              <w:rPr>
                <w:szCs w:val="24"/>
              </w:rPr>
            </w:pPr>
            <w:r w:rsidRPr="008F02D7">
              <w:rPr>
                <w:szCs w:val="24"/>
              </w:rPr>
              <w:t>Název indikátoru</w:t>
            </w:r>
          </w:p>
        </w:tc>
        <w:tc>
          <w:tcPr>
            <w:tcW w:w="1418" w:type="dxa"/>
            <w:shd w:val="clear" w:color="auto" w:fill="EE555D" w:themeFill="accent4" w:themeFillTint="99"/>
            <w:vAlign w:val="center"/>
          </w:tcPr>
          <w:p w:rsidR="00200F30" w:rsidRPr="008F02D7" w:rsidP="00584884" w14:paraId="54F89E06" w14:textId="77777777">
            <w:pPr>
              <w:jc w:val="center"/>
              <w:rPr>
                <w:szCs w:val="24"/>
              </w:rPr>
            </w:pPr>
            <w:r w:rsidRPr="008F02D7">
              <w:rPr>
                <w:szCs w:val="24"/>
              </w:rPr>
              <w:t>Měrná jednotka</w:t>
            </w:r>
          </w:p>
        </w:tc>
        <w:tc>
          <w:tcPr>
            <w:tcW w:w="1843" w:type="dxa"/>
            <w:shd w:val="clear" w:color="auto" w:fill="EE555D" w:themeFill="accent4" w:themeFillTint="99"/>
            <w:vAlign w:val="center"/>
          </w:tcPr>
          <w:p w:rsidR="00200F30" w:rsidRPr="008F02D7" w:rsidP="00584884" w14:paraId="60D33557" w14:textId="5112049E">
            <w:pPr>
              <w:jc w:val="center"/>
              <w:rPr>
                <w:szCs w:val="24"/>
              </w:rPr>
            </w:pPr>
            <w:r w:rsidRPr="008F02D7">
              <w:rPr>
                <w:szCs w:val="24"/>
              </w:rPr>
              <w:t>Cílová hodnota</w:t>
            </w:r>
            <w:r>
              <w:rPr>
                <w:szCs w:val="24"/>
              </w:rPr>
              <w:t xml:space="preserve"> (4Q. 2025)</w:t>
            </w:r>
          </w:p>
        </w:tc>
      </w:tr>
      <w:tr w14:paraId="7F87DA63" w14:textId="77777777" w:rsidTr="00200F30">
        <w:tblPrEx>
          <w:tblW w:w="8647" w:type="dxa"/>
          <w:tblInd w:w="279" w:type="dxa"/>
          <w:tblLook w:val="04A0"/>
        </w:tblPrEx>
        <w:tc>
          <w:tcPr>
            <w:tcW w:w="5386" w:type="dxa"/>
            <w:vAlign w:val="center"/>
          </w:tcPr>
          <w:p w:rsidR="00200F30" w:rsidRPr="008F02D7" w:rsidP="00584884" w14:paraId="4CA83E81" w14:textId="77777777">
            <w:r>
              <w:t>Celková plocha, na které byla realizována</w:t>
            </w:r>
            <w:r w:rsidRPr="00665905">
              <w:t xml:space="preserve"> </w:t>
            </w:r>
            <w:r>
              <w:t>opatření na podporu CHÚ a ZCHD či vypracována studie</w:t>
            </w:r>
          </w:p>
        </w:tc>
        <w:tc>
          <w:tcPr>
            <w:tcW w:w="1418" w:type="dxa"/>
            <w:vAlign w:val="center"/>
          </w:tcPr>
          <w:p w:rsidR="00200F30" w:rsidRPr="008F02D7" w:rsidP="00584884" w14:paraId="6D72BE37" w14:textId="77777777">
            <w:pPr>
              <w:jc w:val="center"/>
            </w:pPr>
            <w:r>
              <w:t>ha</w:t>
            </w:r>
          </w:p>
        </w:tc>
        <w:tc>
          <w:tcPr>
            <w:tcW w:w="1843" w:type="dxa"/>
            <w:vAlign w:val="center"/>
          </w:tcPr>
          <w:p w:rsidR="00200F30" w:rsidRPr="008F02D7" w:rsidP="00584884" w14:paraId="65F83EA3" w14:textId="77777777">
            <w:pPr>
              <w:jc w:val="center"/>
            </w:pPr>
            <w:r>
              <w:t>2625*</w:t>
            </w:r>
          </w:p>
        </w:tc>
      </w:tr>
    </w:tbl>
    <w:p w:rsidR="00200F30" w:rsidRPr="00200F30" w:rsidP="00200F30" w14:paraId="64C20026" w14:textId="3B48110B">
      <w:pPr>
        <w:ind w:left="284" w:right="567" w:hanging="284"/>
        <w:rPr>
          <w:i/>
          <w:sz w:val="20"/>
        </w:rPr>
      </w:pPr>
      <w:r>
        <w:rPr>
          <w:i/>
          <w:sz w:val="20"/>
        </w:rPr>
        <w:t xml:space="preserve">    </w:t>
      </w:r>
      <w:r w:rsidRPr="0056195E">
        <w:rPr>
          <w:i/>
          <w:sz w:val="20"/>
        </w:rPr>
        <w:t>* Cílová hodnota indikátoru je stanovena v Příloze Prováděcího rozhodnutí Rady, str. 115,</w:t>
      </w:r>
      <w:r>
        <w:rPr>
          <w:i/>
          <w:sz w:val="20"/>
        </w:rPr>
        <w:t xml:space="preserve">  </w:t>
      </w:r>
      <w:hyperlink r:id="rId5" w:history="1">
        <w:r w:rsidRPr="005B00BC">
          <w:rPr>
            <w:rStyle w:val="Hyperlink"/>
            <w:i/>
            <w:sz w:val="20"/>
          </w:rPr>
          <w:t>https://www.planobnovycr.cz/dokumenty</w:t>
        </w:r>
      </w:hyperlink>
    </w:p>
    <w:tbl>
      <w:tblPr>
        <w:tblW w:w="864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9"/>
        <w:gridCol w:w="1395"/>
        <w:gridCol w:w="1843"/>
      </w:tblGrid>
      <w:tr w14:paraId="69130C23" w14:textId="77777777" w:rsidTr="00095DB0">
        <w:tblPrEx>
          <w:tblW w:w="8647" w:type="dxa"/>
          <w:tblInd w:w="27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rPr>
          <w:trHeight w:val="711"/>
        </w:trPr>
        <w:tc>
          <w:tcPr>
            <w:tcW w:w="5409" w:type="dxa"/>
            <w:shd w:val="clear" w:color="auto" w:fill="99CC00"/>
            <w:vAlign w:val="center"/>
          </w:tcPr>
          <w:p w:rsidR="00FB2075" w:rsidRPr="00E4194A" w:rsidP="00C36FFD" w14:paraId="4E44D30D" w14:textId="77777777">
            <w:pPr>
              <w:spacing w:before="120"/>
              <w:rPr>
                <w:rFonts w:cs="Arial"/>
              </w:rPr>
            </w:pPr>
            <w:bookmarkStart w:id="1" w:name="_Hlk107391783"/>
            <w:r w:rsidRPr="00E4194A">
              <w:rPr>
                <w:rFonts w:cs="Arial"/>
              </w:rPr>
              <w:t>Název parametru</w:t>
            </w:r>
          </w:p>
        </w:tc>
        <w:tc>
          <w:tcPr>
            <w:tcW w:w="1395" w:type="dxa"/>
            <w:shd w:val="clear" w:color="auto" w:fill="99CC00"/>
            <w:vAlign w:val="center"/>
          </w:tcPr>
          <w:p w:rsidR="00FB2075" w:rsidRPr="00E4194A" w:rsidP="00C36FFD" w14:paraId="416172BD" w14:textId="77777777">
            <w:pPr>
              <w:tabs>
                <w:tab w:val="left" w:pos="-323"/>
              </w:tabs>
              <w:spacing w:before="120"/>
              <w:ind w:left="-143"/>
              <w:jc w:val="center"/>
              <w:rPr>
                <w:rFonts w:cs="Arial"/>
              </w:rPr>
            </w:pPr>
            <w:r w:rsidRPr="00E4194A">
              <w:rPr>
                <w:rFonts w:cs="Arial"/>
              </w:rPr>
              <w:t>Měrná jednotka</w:t>
            </w:r>
          </w:p>
        </w:tc>
        <w:tc>
          <w:tcPr>
            <w:tcW w:w="1843" w:type="dxa"/>
            <w:shd w:val="clear" w:color="auto" w:fill="99CC00"/>
            <w:vAlign w:val="center"/>
          </w:tcPr>
          <w:p w:rsidR="00FB2075" w:rsidRPr="00E4194A" w:rsidP="00C36FFD" w14:paraId="527B8E68" w14:textId="77777777">
            <w:pPr>
              <w:spacing w:before="120"/>
              <w:ind w:hanging="143"/>
              <w:jc w:val="center"/>
              <w:rPr>
                <w:rFonts w:cs="Arial"/>
              </w:rPr>
            </w:pPr>
            <w:r w:rsidRPr="00E4194A">
              <w:rPr>
                <w:rFonts w:cs="Arial"/>
              </w:rPr>
              <w:t>Cílová hodnota</w:t>
            </w:r>
            <w:r>
              <w:rPr>
                <w:rFonts w:cs="Arial"/>
                <w:vertAlign w:val="superscript"/>
              </w:rPr>
              <w:t xml:space="preserve"> </w:t>
            </w:r>
            <w:r w:rsidRPr="00E4194A">
              <w:rPr>
                <w:rFonts w:cs="Arial"/>
              </w:rPr>
              <w:t>(</w:t>
            </w:r>
            <w:r>
              <w:rPr>
                <w:rFonts w:cs="Arial"/>
              </w:rPr>
              <w:t>4Q. 2025</w:t>
            </w:r>
            <w:r w:rsidRPr="00E4194A">
              <w:rPr>
                <w:rFonts w:cs="Arial"/>
              </w:rPr>
              <w:t>)</w:t>
            </w:r>
          </w:p>
        </w:tc>
      </w:tr>
      <w:tr w14:paraId="3C280F9C" w14:textId="77777777" w:rsidTr="00C36FFD">
        <w:tblPrEx>
          <w:tblW w:w="8647" w:type="dxa"/>
          <w:tblInd w:w="279" w:type="dxa"/>
          <w:tblLayout w:type="fixed"/>
          <w:tblLook w:val="01E0"/>
        </w:tblPrEx>
        <w:tc>
          <w:tcPr>
            <w:tcW w:w="5409" w:type="dxa"/>
            <w:vAlign w:val="center"/>
          </w:tcPr>
          <w:p w:rsidR="00FB2075" w:rsidRPr="00E75B2F" w:rsidP="00C36FFD" w14:paraId="1AC58B2F" w14:textId="77777777">
            <w:pPr>
              <w:spacing w:before="120"/>
              <w:jc w:val="left"/>
              <w:rPr>
                <w:rFonts w:cs="Arial"/>
              </w:rPr>
            </w:pPr>
            <w:r>
              <w:rPr>
                <w:rFonts w:cs="Arial"/>
              </w:rPr>
              <w:t>Příprava podkladů pro zpracování a samotné zpracování plánů péče, zásad péče, souhrnů doporučených opatření, záchranných programů, programů péče, regionálních akčních plánů, LHP</w:t>
            </w:r>
          </w:p>
        </w:tc>
        <w:tc>
          <w:tcPr>
            <w:tcW w:w="1395" w:type="dxa"/>
            <w:vAlign w:val="center"/>
          </w:tcPr>
          <w:p w:rsidR="00FB2075" w:rsidRPr="00E75B2F" w:rsidP="00C36FFD" w14:paraId="27795634" w14:textId="77777777">
            <w:pPr>
              <w:tabs>
                <w:tab w:val="left" w:pos="-323"/>
              </w:tabs>
              <w:spacing w:before="120"/>
              <w:ind w:left="-143"/>
              <w:jc w:val="center"/>
              <w:rPr>
                <w:rFonts w:cs="Arial"/>
              </w:rPr>
            </w:pPr>
            <w:r w:rsidRPr="00E75B2F">
              <w:rPr>
                <w:rFonts w:cs="Arial"/>
              </w:rPr>
              <w:t>ks</w:t>
            </w:r>
          </w:p>
        </w:tc>
        <w:tc>
          <w:tcPr>
            <w:tcW w:w="1843" w:type="dxa"/>
            <w:vAlign w:val="center"/>
          </w:tcPr>
          <w:p w:rsidR="00FB2075" w:rsidRPr="00E75B2F" w:rsidP="00C36FFD" w14:paraId="74ECD158" w14:textId="77777777">
            <w:pPr>
              <w:spacing w:before="120"/>
              <w:ind w:hanging="143"/>
              <w:jc w:val="center"/>
              <w:rPr>
                <w:rFonts w:cs="Arial"/>
              </w:rPr>
            </w:pPr>
            <w:r>
              <w:rPr>
                <w:rFonts w:cs="Arial"/>
              </w:rPr>
              <w:t>30</w:t>
            </w:r>
          </w:p>
        </w:tc>
      </w:tr>
      <w:tr w14:paraId="13312E3D" w14:textId="77777777" w:rsidTr="00C36FFD">
        <w:tblPrEx>
          <w:tblW w:w="8647" w:type="dxa"/>
          <w:tblInd w:w="279" w:type="dxa"/>
          <w:tblLayout w:type="fixed"/>
          <w:tblLook w:val="01E0"/>
        </w:tblPrEx>
        <w:tc>
          <w:tcPr>
            <w:tcW w:w="5409" w:type="dxa"/>
            <w:vAlign w:val="center"/>
          </w:tcPr>
          <w:p w:rsidR="00FB2075" w:rsidRPr="00E75B2F" w:rsidP="00C36FFD" w14:paraId="67EBAA36" w14:textId="77777777">
            <w:pPr>
              <w:spacing w:before="120"/>
              <w:jc w:val="left"/>
              <w:rPr>
                <w:rFonts w:cs="Arial"/>
              </w:rPr>
            </w:pPr>
            <w:r w:rsidRPr="00E4194A">
              <w:rPr>
                <w:rFonts w:cs="Arial"/>
              </w:rPr>
              <w:t>Opatření realizovaná v souladu se schválenými plány péče, zásadami péče, souhrny doporučených opatření</w:t>
            </w:r>
          </w:p>
        </w:tc>
        <w:tc>
          <w:tcPr>
            <w:tcW w:w="1395" w:type="dxa"/>
            <w:vAlign w:val="center"/>
          </w:tcPr>
          <w:p w:rsidR="00FB2075" w:rsidRPr="00E75B2F" w:rsidP="00C36FFD" w14:paraId="56EDD1F3" w14:textId="77777777">
            <w:pPr>
              <w:tabs>
                <w:tab w:val="left" w:pos="-323"/>
              </w:tabs>
              <w:spacing w:before="120"/>
              <w:ind w:left="-143"/>
              <w:jc w:val="center"/>
              <w:rPr>
                <w:rFonts w:cs="Arial"/>
              </w:rPr>
            </w:pPr>
            <w:r>
              <w:rPr>
                <w:rFonts w:cs="Arial"/>
              </w:rPr>
              <w:t>ha</w:t>
            </w:r>
          </w:p>
        </w:tc>
        <w:tc>
          <w:tcPr>
            <w:tcW w:w="1843" w:type="dxa"/>
            <w:vAlign w:val="center"/>
          </w:tcPr>
          <w:p w:rsidR="00FB2075" w:rsidRPr="00E75B2F" w:rsidP="00C36FFD" w14:paraId="7C9C4C89" w14:textId="77777777">
            <w:pPr>
              <w:spacing w:before="120"/>
              <w:ind w:hanging="143"/>
              <w:jc w:val="center"/>
              <w:rPr>
                <w:rFonts w:cs="Arial"/>
              </w:rPr>
            </w:pPr>
            <w:r>
              <w:rPr>
                <w:rFonts w:cs="Arial"/>
              </w:rPr>
              <w:t>1200</w:t>
            </w:r>
          </w:p>
        </w:tc>
      </w:tr>
      <w:tr w14:paraId="709F1D88" w14:textId="77777777" w:rsidTr="00C36FFD">
        <w:tblPrEx>
          <w:tblW w:w="8647" w:type="dxa"/>
          <w:tblInd w:w="279" w:type="dxa"/>
          <w:tblLayout w:type="fixed"/>
          <w:tblLook w:val="01E0"/>
        </w:tblPrEx>
        <w:tc>
          <w:tcPr>
            <w:tcW w:w="5409" w:type="dxa"/>
            <w:vAlign w:val="center"/>
          </w:tcPr>
          <w:p w:rsidR="00FB2075" w:rsidRPr="00E75B2F" w:rsidP="00C36FFD" w14:paraId="60C7A769" w14:textId="77777777">
            <w:pPr>
              <w:spacing w:before="120"/>
              <w:jc w:val="left"/>
              <w:rPr>
                <w:rFonts w:cs="Arial"/>
              </w:rPr>
            </w:pPr>
            <w:r>
              <w:rPr>
                <w:rFonts w:cs="Arial"/>
              </w:rPr>
              <w:t>Opatření realizovaná dle návrhu v záchranných programech, programech péče, regionálních akčních plánech</w:t>
            </w:r>
          </w:p>
        </w:tc>
        <w:tc>
          <w:tcPr>
            <w:tcW w:w="1395" w:type="dxa"/>
            <w:vAlign w:val="center"/>
          </w:tcPr>
          <w:p w:rsidR="00FB2075" w:rsidRPr="00E75B2F" w:rsidP="00C36FFD" w14:paraId="666E4B66" w14:textId="77777777">
            <w:pPr>
              <w:tabs>
                <w:tab w:val="left" w:pos="-323"/>
              </w:tabs>
              <w:spacing w:before="120"/>
              <w:ind w:left="-143"/>
              <w:jc w:val="center"/>
              <w:rPr>
                <w:rFonts w:cs="Arial"/>
              </w:rPr>
            </w:pPr>
            <w:r>
              <w:rPr>
                <w:rFonts w:cs="Arial"/>
              </w:rPr>
              <w:t>ha</w:t>
            </w:r>
          </w:p>
        </w:tc>
        <w:tc>
          <w:tcPr>
            <w:tcW w:w="1843" w:type="dxa"/>
            <w:vAlign w:val="center"/>
          </w:tcPr>
          <w:p w:rsidR="00FB2075" w:rsidRPr="00E75B2F" w:rsidP="00C36FFD" w14:paraId="304F633E" w14:textId="77777777">
            <w:pPr>
              <w:spacing w:before="120"/>
              <w:ind w:hanging="143"/>
              <w:jc w:val="center"/>
              <w:rPr>
                <w:rFonts w:cs="Arial"/>
              </w:rPr>
            </w:pPr>
            <w:r>
              <w:rPr>
                <w:rFonts w:cs="Arial"/>
              </w:rPr>
              <w:t>200</w:t>
            </w:r>
          </w:p>
        </w:tc>
      </w:tr>
      <w:tr w14:paraId="16DAE05E" w14:textId="77777777" w:rsidTr="00C36FFD">
        <w:tblPrEx>
          <w:tblW w:w="8647" w:type="dxa"/>
          <w:tblInd w:w="279" w:type="dxa"/>
          <w:tblLayout w:type="fixed"/>
          <w:tblLook w:val="01E0"/>
        </w:tblPrEx>
        <w:tc>
          <w:tcPr>
            <w:tcW w:w="5409" w:type="dxa"/>
            <w:vAlign w:val="center"/>
          </w:tcPr>
          <w:p w:rsidR="00FB2075" w:rsidRPr="00E75B2F" w:rsidP="00C36FFD" w14:paraId="233CECB5" w14:textId="77777777">
            <w:pPr>
              <w:spacing w:before="120"/>
              <w:jc w:val="left"/>
              <w:rPr>
                <w:rFonts w:cs="Arial"/>
              </w:rPr>
            </w:pPr>
            <w:r>
              <w:rPr>
                <w:rFonts w:cs="Arial"/>
              </w:rPr>
              <w:t>Realizované prvky návštěvnické infrastruktury (stezky, lávky, pozorovatelny, cedule atd.)</w:t>
            </w:r>
          </w:p>
        </w:tc>
        <w:tc>
          <w:tcPr>
            <w:tcW w:w="1395" w:type="dxa"/>
            <w:vAlign w:val="center"/>
          </w:tcPr>
          <w:p w:rsidR="00FB2075" w:rsidRPr="00E75B2F" w:rsidP="00C36FFD" w14:paraId="7351B0CB" w14:textId="77777777">
            <w:pPr>
              <w:tabs>
                <w:tab w:val="left" w:pos="-323"/>
              </w:tabs>
              <w:spacing w:before="120"/>
              <w:ind w:left="-143"/>
              <w:jc w:val="center"/>
              <w:rPr>
                <w:rFonts w:cs="Arial"/>
              </w:rPr>
            </w:pPr>
            <w:r>
              <w:rPr>
                <w:rFonts w:cs="Arial"/>
              </w:rPr>
              <w:t>ks</w:t>
            </w:r>
          </w:p>
        </w:tc>
        <w:tc>
          <w:tcPr>
            <w:tcW w:w="1843" w:type="dxa"/>
            <w:vAlign w:val="center"/>
          </w:tcPr>
          <w:p w:rsidR="00FB2075" w:rsidRPr="00E75B2F" w:rsidP="00C36FFD" w14:paraId="1FF8622B" w14:textId="77777777">
            <w:pPr>
              <w:spacing w:before="120"/>
              <w:ind w:hanging="143"/>
              <w:jc w:val="center"/>
              <w:rPr>
                <w:rFonts w:cs="Arial"/>
              </w:rPr>
            </w:pPr>
            <w:r>
              <w:rPr>
                <w:rFonts w:cs="Arial"/>
              </w:rPr>
              <w:t>40</w:t>
            </w:r>
          </w:p>
        </w:tc>
      </w:tr>
      <w:tr w14:paraId="1262E8F2" w14:textId="77777777" w:rsidTr="00C36FFD">
        <w:tblPrEx>
          <w:tblW w:w="8647" w:type="dxa"/>
          <w:tblInd w:w="279" w:type="dxa"/>
          <w:tblLayout w:type="fixed"/>
          <w:tblLook w:val="01E0"/>
        </w:tblPrEx>
        <w:tc>
          <w:tcPr>
            <w:tcW w:w="5409" w:type="dxa"/>
          </w:tcPr>
          <w:p w:rsidR="00FB2075" w:rsidRPr="007972B4" w:rsidP="00C36FFD" w14:paraId="65DE3A55" w14:textId="77777777">
            <w:pPr>
              <w:spacing w:before="120"/>
              <w:jc w:val="left"/>
              <w:rPr>
                <w:rFonts w:cs="Arial"/>
              </w:rPr>
            </w:pPr>
            <w:r w:rsidRPr="007972B4">
              <w:t>Realizované studie/monitoring</w:t>
            </w:r>
          </w:p>
        </w:tc>
        <w:tc>
          <w:tcPr>
            <w:tcW w:w="1395" w:type="dxa"/>
          </w:tcPr>
          <w:p w:rsidR="00FB2075" w:rsidRPr="007972B4" w:rsidP="00C36FFD" w14:paraId="1970B3F6" w14:textId="77777777">
            <w:pPr>
              <w:tabs>
                <w:tab w:val="left" w:pos="-323"/>
              </w:tabs>
              <w:spacing w:before="120"/>
              <w:ind w:left="-143"/>
              <w:jc w:val="center"/>
              <w:rPr>
                <w:rFonts w:cs="Arial"/>
              </w:rPr>
            </w:pPr>
            <w:r w:rsidRPr="007972B4">
              <w:t>ks</w:t>
            </w:r>
          </w:p>
        </w:tc>
        <w:tc>
          <w:tcPr>
            <w:tcW w:w="1843" w:type="dxa"/>
          </w:tcPr>
          <w:p w:rsidR="00FB2075" w:rsidRPr="007972B4" w:rsidP="00C36FFD" w14:paraId="13B4991F" w14:textId="77777777">
            <w:pPr>
              <w:spacing w:before="120"/>
              <w:ind w:hanging="143"/>
              <w:jc w:val="center"/>
              <w:rPr>
                <w:rFonts w:cs="Arial"/>
              </w:rPr>
            </w:pPr>
            <w:r w:rsidRPr="007972B4">
              <w:t>50</w:t>
            </w:r>
          </w:p>
        </w:tc>
      </w:tr>
      <w:bookmarkEnd w:id="1"/>
    </w:tbl>
    <w:p w:rsidR="00C07DA8" w:rsidP="00C07DA8" w14:paraId="46086760" w14:textId="4E6E4644"/>
    <w:p w:rsidR="00FB2075" w:rsidP="003C76E8" w14:paraId="778A7B63" w14:textId="5ACC9AAA">
      <w:pPr>
        <w:spacing w:line="276" w:lineRule="auto"/>
      </w:pPr>
      <w:r>
        <w:t xml:space="preserve">Hodnota indikátoru </w:t>
      </w:r>
      <w:r>
        <w:t>je závazn</w:t>
      </w:r>
      <w:r>
        <w:t>á</w:t>
      </w:r>
      <w:r>
        <w:t xml:space="preserve"> a lze </w:t>
      </w:r>
      <w:r>
        <w:t>ji</w:t>
      </w:r>
      <w:r>
        <w:t xml:space="preserve"> změnit pouze změnovým Rozhodnutím o přidělení dotace</w:t>
      </w:r>
      <w:r w:rsidR="00857D2C">
        <w:t xml:space="preserve"> / </w:t>
      </w:r>
      <w:r>
        <w:t>S</w:t>
      </w:r>
      <w:r w:rsidR="00857D2C">
        <w:t>tanovením výdajů</w:t>
      </w:r>
      <w:r>
        <w:t>.</w:t>
      </w:r>
    </w:p>
    <w:p w:rsidR="00095DB0" w:rsidP="003C76E8" w14:paraId="752EE358" w14:textId="76564080">
      <w:pPr>
        <w:spacing w:line="276" w:lineRule="auto"/>
      </w:pPr>
      <w:r>
        <w:t xml:space="preserve">Vyplněná hodnota indikátoru </w:t>
      </w:r>
      <w:r>
        <w:t xml:space="preserve">musí obsahovat pouze plochu přímo dotčenou realizovaným opatřením. (Nelze uvádět </w:t>
      </w:r>
      <w:r w:rsidR="008C5A75">
        <w:t xml:space="preserve">pro zjednodušení </w:t>
      </w:r>
      <w:r>
        <w:t xml:space="preserve">např. celou plochu </w:t>
      </w:r>
      <w:r w:rsidR="0015556C">
        <w:t>ZCHÚ)</w:t>
      </w:r>
      <w:r>
        <w:t>.</w:t>
      </w:r>
    </w:p>
    <w:p w:rsidR="00C07DA8" w:rsidRPr="00C07DA8" w:rsidP="003C76E8" w14:paraId="08FD84A1" w14:textId="77777777">
      <w:pPr>
        <w:spacing w:line="276" w:lineRule="auto"/>
      </w:pPr>
    </w:p>
    <w:p w:rsidR="00F10270" w:rsidP="003C76E8" w14:paraId="3E8EAEE3" w14:textId="59108D97">
      <w:pPr>
        <w:pStyle w:val="Heading1"/>
        <w:spacing w:line="276" w:lineRule="auto"/>
      </w:pPr>
      <w:r>
        <w:t>Způsob podání žádosti</w:t>
      </w:r>
    </w:p>
    <w:p w:rsidR="00BC6116" w:rsidRPr="00BC6116" w:rsidP="003C76E8" w14:paraId="67982F36" w14:textId="6BFC57D9">
      <w:pPr>
        <w:spacing w:line="276" w:lineRule="auto"/>
      </w:pPr>
      <w:r w:rsidRPr="00BC6116">
        <w:t>Žádosti budou přijímány průběžně počínaje prvním dnem zahájení příjmu žádostí do ukončení příjmu žádostí dle termínu ukončení výzvy. Při doručení žádosti je rozhodující datum doručení na MŽP</w:t>
      </w:r>
      <w:r w:rsidR="002971C1">
        <w:t xml:space="preserve">. </w:t>
      </w:r>
      <w:r w:rsidRPr="00BC6116">
        <w:t>Později doručené žádosti nebudou přijaty do dalšího administrativního procesu.</w:t>
      </w:r>
    </w:p>
    <w:p w:rsidR="00BC6116" w:rsidP="003C76E8" w14:paraId="54582067" w14:textId="65C1919A">
      <w:pPr>
        <w:spacing w:line="276" w:lineRule="auto"/>
      </w:pPr>
      <w:r w:rsidRPr="00BC6116">
        <w:t xml:space="preserve">Žádost bude zpracována v českém jazyce v předepsaném formátu dle </w:t>
      </w:r>
      <w:r w:rsidR="002971C1">
        <w:t>Směrnice a D</w:t>
      </w:r>
      <w:r w:rsidRPr="00BC6116">
        <w:t xml:space="preserve">okumentace Programu.  Předpokládaný rozpočet bude uveden v Kč. </w:t>
      </w:r>
    </w:p>
    <w:p w:rsidR="00BC6116" w:rsidRPr="00BC6116" w:rsidP="003C76E8" w14:paraId="53DFFDF0" w14:textId="5791CCB3">
      <w:pPr>
        <w:spacing w:line="276" w:lineRule="auto"/>
      </w:pPr>
      <w:r w:rsidRPr="00BC6116">
        <w:t xml:space="preserve">Žádosti </w:t>
      </w:r>
      <w:r w:rsidR="002971C1">
        <w:t xml:space="preserve">společně s přílohami </w:t>
      </w:r>
      <w:r w:rsidRPr="00BC6116">
        <w:t xml:space="preserve">mohou být předkládány prostřednictvím datových </w:t>
      </w:r>
      <w:r w:rsidRPr="00BC6116">
        <w:t>zpráv</w:t>
      </w:r>
      <w:r w:rsidRPr="00BC6116">
        <w:t xml:space="preserve"> přičemž datová zpráva musí být označena jako „Žádost NPO-POPFK ev. č. 115V34XXXXXXX“ a musí být opatřena platným elektronickým podpisem statutárního zástupce.</w:t>
      </w:r>
    </w:p>
    <w:p w:rsidR="00BC6116" w:rsidRPr="00BC6116" w:rsidP="003C76E8" w14:paraId="531DB6F4" w14:textId="3BAC57FB">
      <w:pPr>
        <w:spacing w:line="276" w:lineRule="auto"/>
      </w:pPr>
      <w:r w:rsidRPr="00BC6116">
        <w:t>Elektronická verze žádosti musí být zpracována v obvyklých formátech (Microsoft Word, Excel,</w:t>
      </w:r>
      <w:r w:rsidR="002971C1">
        <w:t xml:space="preserve"> </w:t>
      </w:r>
      <w:r w:rsidR="00131A45">
        <w:t xml:space="preserve">PDF, </w:t>
      </w:r>
      <w:r w:rsidRPr="00BC6116">
        <w:t xml:space="preserve">případně Open Office). </w:t>
      </w:r>
    </w:p>
    <w:p w:rsidR="009A148C" w:rsidP="003C76E8" w14:paraId="2F0C19D9" w14:textId="5D7B1F92">
      <w:pPr>
        <w:pStyle w:val="Heading1"/>
        <w:spacing w:line="276" w:lineRule="auto"/>
      </w:pPr>
      <w:r>
        <w:t>Přílohy žádosti</w:t>
      </w:r>
    </w:p>
    <w:p w:rsidR="006C3390" w:rsidP="003C76E8" w14:paraId="16204CAF" w14:textId="14B7B495">
      <w:pPr>
        <w:spacing w:line="276" w:lineRule="auto"/>
      </w:pPr>
      <w:r>
        <w:t>Žadatel je povinen doložit veškeré relevantní podklady a doklady nezbytné pro posouzení a vyhodnocení projektu</w:t>
      </w:r>
      <w:r w:rsidR="00AA712C">
        <w:t xml:space="preserve">. </w:t>
      </w:r>
      <w:r>
        <w:t xml:space="preserve">V rámci procesu administrace může </w:t>
      </w:r>
      <w:r w:rsidR="00AA712C">
        <w:t>MŽP</w:t>
      </w:r>
      <w:r>
        <w:t xml:space="preserve"> požádat o doložení dalších příloh.</w:t>
      </w:r>
    </w:p>
    <w:p w:rsidR="00AF7BBA" w:rsidP="003C76E8" w14:paraId="7ECF5DB0" w14:textId="1B7DB5D9">
      <w:pPr>
        <w:spacing w:line="276" w:lineRule="auto"/>
      </w:pPr>
      <w:r w:rsidRPr="00AF7BBA">
        <w:t>V případě, že žadatel je vlastníkem pozemků, na kterých se bude akce realizovat, uvede tuto skutečnost v žádosti. V opačném případě doloží čestné prohlášení o vypořádání vlastnických vztahů.</w:t>
      </w:r>
    </w:p>
    <w:p w:rsidR="00AF7BBA" w:rsidP="003C76E8" w14:paraId="1769B8AD" w14:textId="247CFC02">
      <w:pPr>
        <w:spacing w:line="276" w:lineRule="auto"/>
      </w:pPr>
      <w:r w:rsidRPr="00AF7BBA">
        <w:t xml:space="preserve">Žadatel/příjemce je povinen doložit Čestné prohlášení o vyloučení střetu zájmů mezi žadatelem a zainteresovanými osobami Správce </w:t>
      </w:r>
      <w:r w:rsidRPr="00AF7BBA">
        <w:t>programu</w:t>
      </w:r>
      <w:r w:rsidRPr="00AF7BBA">
        <w:t xml:space="preserve"> a to k první žádosti a pak společně s přehledem čerpání v rámci jednotlivých projektů roku 2022 tj</w:t>
      </w:r>
      <w:r>
        <w:t>.</w:t>
      </w:r>
      <w:r w:rsidRPr="00AF7BBA">
        <w:t xml:space="preserve"> cca do konce ledna 2023.  </w:t>
      </w:r>
    </w:p>
    <w:p w:rsidR="006C3390" w:rsidP="003C76E8" w14:paraId="3E7D53EF" w14:textId="273739A9">
      <w:pPr>
        <w:pStyle w:val="Heading1"/>
        <w:spacing w:line="276" w:lineRule="auto"/>
      </w:pPr>
      <w:r>
        <w:t>Období realizace</w:t>
      </w:r>
    </w:p>
    <w:p w:rsidR="006C3390" w:rsidP="003C76E8" w14:paraId="4DFC8863" w14:textId="0E4CB927">
      <w:pPr>
        <w:spacing w:line="276" w:lineRule="auto"/>
      </w:pPr>
      <w:r>
        <w:t>Podpořené projekty budou realizovány nejpozději do 3</w:t>
      </w:r>
      <w:r w:rsidR="00BC6116">
        <w:t>1</w:t>
      </w:r>
      <w:r w:rsidR="002B7C3A">
        <w:t xml:space="preserve">. </w:t>
      </w:r>
      <w:r w:rsidR="00BC6116">
        <w:t>12</w:t>
      </w:r>
      <w:r>
        <w:t>. 2025.</w:t>
      </w:r>
    </w:p>
    <w:p w:rsidR="0056569F" w:rsidP="003C76E8" w14:paraId="519DA2F8" w14:textId="61032871">
      <w:pPr>
        <w:pStyle w:val="Heading1"/>
        <w:spacing w:line="276" w:lineRule="auto"/>
      </w:pPr>
      <w:r>
        <w:t>Administrace a hodnocení žádostí</w:t>
      </w:r>
    </w:p>
    <w:p w:rsidR="0056569F" w:rsidP="003C76E8" w14:paraId="51334EF1" w14:textId="55BE40F6">
      <w:pPr>
        <w:spacing w:line="276" w:lineRule="auto"/>
      </w:pPr>
      <w:r>
        <w:t>Detailní informace o způsobu administrace žádosti, způsobu poskytování finančních prostředků, způsobilosti výdajů a podmínek poskytování finanční podpory jsou uvedeny v</w:t>
      </w:r>
      <w:r w:rsidR="00B87E9A">
        <w:t xml:space="preserve"> Dokumentaci a </w:t>
      </w:r>
      <w:r w:rsidR="00AA712C">
        <w:t xml:space="preserve">Směrnici MŽP č. 7/2022 </w:t>
      </w:r>
      <w:r>
        <w:t>(příl</w:t>
      </w:r>
      <w:r w:rsidR="000F60A2">
        <w:t>o</w:t>
      </w:r>
      <w:r>
        <w:t xml:space="preserve">ha č. 1 </w:t>
      </w:r>
      <w:r w:rsidR="00131A45">
        <w:t xml:space="preserve">a 2 </w:t>
      </w:r>
      <w:r>
        <w:t>Výzvy).</w:t>
      </w:r>
    </w:p>
    <w:p w:rsidR="007127CB" w:rsidP="003C76E8" w14:paraId="3DAE71BD" w14:textId="5BB317B4">
      <w:pPr>
        <w:spacing w:line="276" w:lineRule="auto"/>
      </w:pPr>
      <w:r>
        <w:t xml:space="preserve">Žádosti jsou formálně a věcně kontrolovány. </w:t>
      </w:r>
      <w:r w:rsidR="00B87E9A">
        <w:t>Ž</w:t>
      </w:r>
      <w:r>
        <w:t>ádost</w:t>
      </w:r>
      <w:r w:rsidR="00B87E9A">
        <w:t xml:space="preserve">i budou posuzovány dle </w:t>
      </w:r>
      <w:r>
        <w:t>obecn</w:t>
      </w:r>
      <w:r w:rsidR="00B87E9A">
        <w:t>ých</w:t>
      </w:r>
      <w:r>
        <w:t xml:space="preserve"> kritéri</w:t>
      </w:r>
      <w:r w:rsidR="00B87E9A">
        <w:t>í</w:t>
      </w:r>
      <w:r>
        <w:t xml:space="preserve"> přijatelnosti, </w:t>
      </w:r>
      <w:r w:rsidR="00B33EB3">
        <w:t xml:space="preserve">dle </w:t>
      </w:r>
      <w:r w:rsidR="00B87E9A">
        <w:t>kap. 6, čl. 2, bod 7 Směrnice.</w:t>
      </w:r>
      <w:r w:rsidR="00162A19">
        <w:t xml:space="preserve"> </w:t>
      </w:r>
    </w:p>
    <w:p w:rsidR="00831719" w:rsidP="003C76E8" w14:paraId="762A6F70" w14:textId="747A8643">
      <w:pPr>
        <w:spacing w:line="276" w:lineRule="auto"/>
      </w:pPr>
      <w:r w:rsidRPr="00831719">
        <w:t>Z žádosti musí být zřejmé, že nedojde k negativnímu ovlivnění zvláště chráněných druhů a předmětů ochrany soustavy NATURA 2000 v místě realizace projektu.</w:t>
      </w:r>
    </w:p>
    <w:p w:rsidR="00131A45" w:rsidP="003C76E8" w14:paraId="76A0840A" w14:textId="09D0CCEF">
      <w:pPr>
        <w:spacing w:line="276" w:lineRule="auto"/>
      </w:pPr>
      <w:r>
        <w:t xml:space="preserve">Všechny žádosti budou evidovány v systému </w:t>
      </w:r>
      <w:r>
        <w:t>SMVS</w:t>
      </w:r>
      <w:r>
        <w:t xml:space="preserve"> kde budou též administrovány.</w:t>
      </w:r>
    </w:p>
    <w:p w:rsidR="007127CB" w:rsidP="003C76E8" w14:paraId="4DE478A4" w14:textId="06A7E9FC">
      <w:pPr>
        <w:spacing w:line="276" w:lineRule="auto"/>
      </w:pPr>
      <w:r>
        <w:t>Pokud mají n</w:t>
      </w:r>
      <w:r>
        <w:t xml:space="preserve">áklady akce </w:t>
      </w:r>
      <w:r>
        <w:t xml:space="preserve">odpovídající položku v ceníku </w:t>
      </w:r>
      <w:r>
        <w:t>Náklad</w:t>
      </w:r>
      <w:r>
        <w:t>ů</w:t>
      </w:r>
      <w:r>
        <w:t xml:space="preserve"> obvyklých opatření MŽP 2022 (příloha č. </w:t>
      </w:r>
      <w:r w:rsidR="004701C8">
        <w:t>8</w:t>
      </w:r>
      <w:r>
        <w:t xml:space="preserve"> Výzvy)</w:t>
      </w:r>
      <w:r w:rsidR="00AF7BBA">
        <w:t>,</w:t>
      </w:r>
      <w:r>
        <w:t xml:space="preserve"> musí s být </w:t>
      </w:r>
      <w:r w:rsidR="00BE4E2E">
        <w:t xml:space="preserve">s ceníkem </w:t>
      </w:r>
      <w:r>
        <w:t>v souladu.</w:t>
      </w:r>
      <w:r w:rsidR="00AF7BBA">
        <w:t xml:space="preserve"> Z předložené kalkulace musí být zřejmé, jaké konkrétní činnosti jsou v rámci dané částky realizovány. MŽP si může vyžádat podrobnější zdůvodnění uvedených nákladů.</w:t>
      </w:r>
    </w:p>
    <w:p w:rsidR="00166980" w:rsidP="003C76E8" w14:paraId="3FE18B8C" w14:textId="757B2A51">
      <w:pPr>
        <w:pStyle w:val="Heading1"/>
        <w:spacing w:line="276" w:lineRule="auto"/>
      </w:pPr>
      <w:r>
        <w:t>Povinnosti žadatele při realizaci projektu</w:t>
      </w:r>
    </w:p>
    <w:p w:rsidR="00B07F8D" w:rsidP="003C76E8" w14:paraId="159CF58E" w14:textId="4AC116BC">
      <w:pPr>
        <w:spacing w:line="276" w:lineRule="auto"/>
      </w:pPr>
      <w:r>
        <w:t xml:space="preserve">Žadatel je povinen zajistit </w:t>
      </w:r>
      <w:r w:rsidRPr="00B07F8D">
        <w:t>udržitelnost nestavební akce po dobu minimálně 5 let (s výjimkou pravidelných opatření</w:t>
      </w:r>
      <w:r w:rsidR="006D7030">
        <w:t xml:space="preserve"> péče o přírodu a krajinu</w:t>
      </w:r>
      <w:r w:rsidRPr="00B07F8D">
        <w:t xml:space="preserve">, např. </w:t>
      </w:r>
      <w:r w:rsidR="006D7030">
        <w:t>sečení</w:t>
      </w:r>
      <w:r w:rsidRPr="00B07F8D">
        <w:t>, pastva) a stavební a</w:t>
      </w:r>
      <w:r w:rsidR="006D7030">
        <w:t>kce minimálně 10 let, není-li v </w:t>
      </w:r>
      <w:r w:rsidRPr="00B07F8D">
        <w:t xml:space="preserve">Rozhodnutí o poskytnutí dotace </w:t>
      </w:r>
      <w:r w:rsidR="00943E4E">
        <w:t>/</w:t>
      </w:r>
      <w:r w:rsidRPr="00B07F8D">
        <w:t xml:space="preserve"> </w:t>
      </w:r>
      <w:r w:rsidR="00943E4E">
        <w:t xml:space="preserve">Stanovení výdajů uvedeno </w:t>
      </w:r>
      <w:r w:rsidRPr="00B07F8D">
        <w:t>jinak.</w:t>
      </w:r>
    </w:p>
    <w:p w:rsidR="001D1B48" w:rsidP="003C76E8" w14:paraId="649F99FC" w14:textId="755C165B">
      <w:pPr>
        <w:spacing w:line="276" w:lineRule="auto"/>
      </w:pPr>
      <w:r>
        <w:t>Žadatel je povi</w:t>
      </w:r>
      <w:r w:rsidR="006D7030">
        <w:t>nen</w:t>
      </w:r>
      <w:r>
        <w:t xml:space="preserve"> poskytnout součinnost </w:t>
      </w:r>
      <w:r w:rsidRPr="00B07F8D">
        <w:t>orgánům oprávněným k provádění kontroly/auditu – správce Programu, orgány finanční správy, Auditní orgán Ministerstva financí, MPO-DU, Nejvyšší kontrolní úřad, Evropská komise, případně další oprávněné orgány, a realiz</w:t>
      </w:r>
      <w:r w:rsidR="006D7030">
        <w:t>ovat</w:t>
      </w:r>
      <w:r w:rsidRPr="00B07F8D">
        <w:t xml:space="preserve"> opatření k odstranění nedostatků zjištěných při kontrolách/auditech.</w:t>
      </w:r>
    </w:p>
    <w:p w:rsidR="00B07F8D" w:rsidP="003C76E8" w14:paraId="4B1D3E9D" w14:textId="19B5140D">
      <w:pPr>
        <w:spacing w:line="276" w:lineRule="auto"/>
      </w:pPr>
      <w:r>
        <w:t xml:space="preserve">V případě, že byl zhotovitel vybrán na základě vypsaného výběrového řízení </w:t>
      </w:r>
      <w:r w:rsidR="00874A57">
        <w:t>dle zákona č. </w:t>
      </w:r>
      <w:r>
        <w:t>134/2016</w:t>
      </w:r>
      <w:r w:rsidRPr="00B07F8D">
        <w:t>Sb., o veřejných zakázkách, ve znění pozdějších předpisů</w:t>
      </w:r>
      <w:r>
        <w:t>,</w:t>
      </w:r>
      <w:r>
        <w:t xml:space="preserve"> </w:t>
      </w:r>
      <w:r>
        <w:t>j</w:t>
      </w:r>
      <w:r>
        <w:t xml:space="preserve">e </w:t>
      </w:r>
      <w:r w:rsidR="00C264AD">
        <w:t xml:space="preserve">žadatel </w:t>
      </w:r>
      <w:r>
        <w:t>povi</w:t>
      </w:r>
      <w:r w:rsidR="00874A57">
        <w:t>nen</w:t>
      </w:r>
      <w:r>
        <w:t xml:space="preserve"> vyhodnocovat</w:t>
      </w:r>
      <w:r w:rsidR="00874A57">
        <w:t>,</w:t>
      </w:r>
      <w:r>
        <w:t xml:space="preserve"> jestli ve vztahu zadavatel – zhotovitel nedochází ke střetu zájmů a mít od zhotovitele doplněno a podepsáno Čestné prohlášení o vyloučení střetu zájmu (příloha č. 3 Výzvy)</w:t>
      </w:r>
      <w:r w:rsidR="00831719">
        <w:t>.</w:t>
      </w:r>
      <w:r>
        <w:t xml:space="preserve"> </w:t>
      </w:r>
    </w:p>
    <w:p w:rsidR="00841109" w:rsidP="003C76E8" w14:paraId="7A4017E6" w14:textId="3229B64D">
      <w:pPr>
        <w:spacing w:line="276" w:lineRule="auto"/>
      </w:pPr>
      <w:r>
        <w:t>Žadatel je povinen</w:t>
      </w:r>
      <w:r>
        <w:t xml:space="preserve"> informovat o zdroji financí prostředn</w:t>
      </w:r>
      <w:r w:rsidR="0057540A">
        <w:t>ictvím loga</w:t>
      </w:r>
      <w:r>
        <w:t xml:space="preserve"> EU</w:t>
      </w:r>
      <w:r w:rsidR="0057540A">
        <w:t xml:space="preserve"> s větou </w:t>
      </w:r>
      <w:r>
        <w:t>„</w:t>
      </w:r>
      <w:r w:rsidR="0057540A">
        <w:t xml:space="preserve">Financováno Evropskou unií </w:t>
      </w:r>
      <w:r w:rsidR="0057540A">
        <w:t>NextGenerationEU</w:t>
      </w:r>
      <w:r>
        <w:t>“</w:t>
      </w:r>
      <w:r w:rsidR="0057540A">
        <w:t xml:space="preserve">. Logo je včetně </w:t>
      </w:r>
      <w:r w:rsidR="0057540A">
        <w:t>Logomanuálu</w:t>
      </w:r>
      <w:r w:rsidR="0057540A">
        <w:t xml:space="preserve"> dostupn</w:t>
      </w:r>
      <w:r w:rsidR="003C2E8B">
        <w:t xml:space="preserve">é na </w:t>
      </w:r>
      <w:hyperlink r:id="rId5" w:history="1">
        <w:r w:rsidRPr="004C142E" w:rsidR="003C2E8B">
          <w:rPr>
            <w:rStyle w:val="Hyperlink"/>
          </w:rPr>
          <w:t>https://www.planobnovycr.cz/dokumenty</w:t>
        </w:r>
      </w:hyperlink>
      <w:r w:rsidR="003C2E8B">
        <w:t xml:space="preserve">. Informace o zdroji financování bude uvedena i na smluvních závazcích uzavřených mezi žadatelem o podporu a konečným zhotovitelem. </w:t>
      </w:r>
    </w:p>
    <w:p w:rsidR="005777F5" w:rsidP="003C76E8" w14:paraId="05438783" w14:textId="3F071D3D">
      <w:pPr>
        <w:spacing w:line="276" w:lineRule="auto"/>
      </w:pPr>
      <w:r>
        <w:t>Podmínky výzvy budou každý rok aktualizovány.</w:t>
      </w:r>
    </w:p>
    <w:p w:rsidR="00933B63" w:rsidP="003C76E8" w14:paraId="0EF98188" w14:textId="77777777">
      <w:pPr>
        <w:spacing w:line="276" w:lineRule="auto"/>
      </w:pPr>
    </w:p>
    <w:p w:rsidR="00FD500B" w:rsidRPr="00933B63" w:rsidP="003C76E8" w14:paraId="660A0080" w14:textId="3F8D73A9">
      <w:pPr>
        <w:spacing w:line="276" w:lineRule="auto"/>
        <w:rPr>
          <w:b/>
        </w:rPr>
      </w:pPr>
      <w:r w:rsidRPr="00933B63">
        <w:rPr>
          <w:b/>
        </w:rPr>
        <w:t>Upozornění:</w:t>
      </w:r>
    </w:p>
    <w:p w:rsidR="000A5ADB" w:rsidP="003C76E8" w14:paraId="309AF549" w14:textId="02EFBE69">
      <w:pPr>
        <w:spacing w:line="276" w:lineRule="auto"/>
      </w:pPr>
      <w:r>
        <w:t xml:space="preserve">Řídící dokumenty k jednotlivým </w:t>
      </w:r>
      <w:r w:rsidR="00C13B7E">
        <w:t xml:space="preserve">akcím </w:t>
      </w:r>
      <w:r>
        <w:t>bude možné vydávat až po schválení Dokumentace Ministerstvem financí. Předpokládané datum schválení je 26.8.2022.</w:t>
      </w:r>
      <w:r w:rsidR="00C13B7E">
        <w:t xml:space="preserve"> Datum se může změnit.</w:t>
      </w:r>
    </w:p>
    <w:p w:rsidR="00933B63" w:rsidP="003C76E8" w14:paraId="3B3D7039" w14:textId="77777777">
      <w:pPr>
        <w:spacing w:line="276" w:lineRule="auto"/>
      </w:pPr>
    </w:p>
    <w:p w:rsidR="00765288" w:rsidRPr="00FD500B" w:rsidP="003C76E8" w14:paraId="5FB6F391" w14:textId="7526B9E1">
      <w:pPr>
        <w:pStyle w:val="Heading1"/>
        <w:spacing w:line="276" w:lineRule="auto"/>
      </w:pPr>
      <w:r w:rsidRPr="00FD500B">
        <w:t>Přílohy</w:t>
      </w:r>
    </w:p>
    <w:p w:rsidR="00131A45" w:rsidP="003C76E8" w14:paraId="073B5EB7" w14:textId="52CF0087">
      <w:pPr>
        <w:pStyle w:val="ListParagraph"/>
        <w:numPr>
          <w:ilvl w:val="0"/>
          <w:numId w:val="11"/>
        </w:numPr>
        <w:spacing w:line="276" w:lineRule="auto"/>
      </w:pPr>
      <w:r>
        <w:t>Směrnice MŽP č. 7/2022</w:t>
      </w:r>
      <w:r>
        <w:t xml:space="preserve"> </w:t>
      </w:r>
    </w:p>
    <w:p w:rsidR="001A65F9" w:rsidP="003C76E8" w14:paraId="28AAEFB6" w14:textId="77777777">
      <w:pPr>
        <w:pStyle w:val="ListParagraph"/>
        <w:numPr>
          <w:ilvl w:val="0"/>
          <w:numId w:val="11"/>
        </w:numPr>
        <w:spacing w:line="276" w:lineRule="auto"/>
      </w:pPr>
      <w:r>
        <w:t xml:space="preserve">Dokumentace Programu </w:t>
      </w:r>
    </w:p>
    <w:p w:rsidR="0057540A" w:rsidP="003C76E8" w14:paraId="1616D098" w14:textId="37317F1E">
      <w:pPr>
        <w:pStyle w:val="ListParagraph"/>
        <w:numPr>
          <w:ilvl w:val="0"/>
          <w:numId w:val="11"/>
        </w:numPr>
        <w:spacing w:line="276" w:lineRule="auto"/>
      </w:pPr>
      <w:r>
        <w:t>Čestné prohlášení o vyloučení střetu zájmů</w:t>
      </w:r>
    </w:p>
    <w:p w:rsidR="00D16F36" w:rsidP="003C76E8" w14:paraId="00E67659" w14:textId="5FF45035">
      <w:pPr>
        <w:pStyle w:val="ListParagraph"/>
        <w:numPr>
          <w:ilvl w:val="0"/>
          <w:numId w:val="11"/>
        </w:numPr>
        <w:spacing w:line="276" w:lineRule="auto"/>
      </w:pPr>
      <w:r>
        <w:t>Čestné prohlášení o vypořádání vlastnických vztahů</w:t>
      </w:r>
    </w:p>
    <w:p w:rsidR="00D16F36" w:rsidP="003C76E8" w14:paraId="3AB5E4D6" w14:textId="6D2FBD05">
      <w:pPr>
        <w:pStyle w:val="ListParagraph"/>
        <w:numPr>
          <w:ilvl w:val="0"/>
          <w:numId w:val="11"/>
        </w:numPr>
        <w:spacing w:line="276" w:lineRule="auto"/>
      </w:pPr>
      <w:r>
        <w:t>Čestné prohlášení o nečerpání jiné veřejné podpory</w:t>
      </w:r>
    </w:p>
    <w:p w:rsidR="00E62587" w:rsidP="003C76E8" w14:paraId="5B73687E" w14:textId="45A63240">
      <w:pPr>
        <w:pStyle w:val="ListParagraph"/>
        <w:numPr>
          <w:ilvl w:val="0"/>
          <w:numId w:val="11"/>
        </w:numPr>
        <w:spacing w:line="276" w:lineRule="auto"/>
      </w:pPr>
      <w:r>
        <w:t>Čestné prohlášení o vyloučení střetu zájmů zhotovitel (dodavatel) - zadavatel dle zák. 134/2016</w:t>
      </w:r>
      <w:r w:rsidR="00831719">
        <w:t xml:space="preserve"> </w:t>
      </w:r>
      <w:r w:rsidRPr="00B07F8D">
        <w:t>Sb</w:t>
      </w:r>
      <w:r>
        <w:t xml:space="preserve">. </w:t>
      </w:r>
    </w:p>
    <w:p w:rsidR="007127CB" w:rsidP="003C76E8" w14:paraId="7C9C24A8" w14:textId="25FCA51E">
      <w:pPr>
        <w:pStyle w:val="ListParagraph"/>
        <w:numPr>
          <w:ilvl w:val="0"/>
          <w:numId w:val="11"/>
        </w:numPr>
        <w:spacing w:line="276" w:lineRule="auto"/>
      </w:pPr>
      <w:r>
        <w:t>Náklady obvyklých opatření MŽP 2022</w:t>
      </w:r>
    </w:p>
    <w:p w:rsidR="001C3F5F" w:rsidP="003C76E8" w14:paraId="68573428" w14:textId="07DFAAE3">
      <w:pPr>
        <w:pStyle w:val="ListParagraph"/>
        <w:numPr>
          <w:ilvl w:val="0"/>
          <w:numId w:val="11"/>
        </w:numPr>
        <w:spacing w:line="276" w:lineRule="auto"/>
      </w:pPr>
      <w:r>
        <w:t>Vzor žádosti</w:t>
      </w:r>
    </w:p>
    <w:sectPr w:rsidSect="00200F30">
      <w:headerReference w:type="default" r:id="rId6"/>
      <w:pgSz w:w="11906" w:h="16838"/>
      <w:pgMar w:top="1134" w:right="127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altName w:val="Franklin Gothic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5288" w:rsidP="00DC7FE8" w14:paraId="7DF6C0EB" w14:textId="20EF143D">
    <w:pPr>
      <w:pStyle w:val="Header"/>
      <w:tabs>
        <w:tab w:val="clear" w:pos="4536"/>
        <w:tab w:val="center" w:pos="4819"/>
      </w:tabs>
      <w:ind w:right="-141"/>
    </w:pPr>
    <w:r>
      <w:rPr>
        <w:noProof/>
        <w:lang w:eastAsia="cs-CZ"/>
      </w:rPr>
      <w:tab/>
    </w:r>
    <w:r w:rsidRPr="007B05FA"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9760" cy="359410"/>
          <wp:effectExtent l="0" t="0" r="0" b="2540"/>
          <wp:wrapNone/>
          <wp:docPr id="6" name="Obrázek 6" descr="C:\Users\user\ownCloud\Documents\_ESS\_Šablony dokumentů - nová ESS\MZP_C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1133982" name="Picture 1" descr="C:\Users\user\ownCloud\Documents\_ESS\_Šablony dokumentů - nová ESS\MZP_CZ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t xml:space="preserve">               </w:t>
    </w: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2049" type="#_x0000_t75" style="width:185.3pt;height:60.1pt;mso-height-relative:page;mso-position-vertical:center;mso-width-relative:page">
          <v:imagedata r:id="rId2" o:title="CS Financováno Evropskou unií_POS_POS"/>
        </v:shape>
      </w:pict>
    </w:r>
    <w:r w:rsidR="00BB660F">
      <w:rPr>
        <w:noProof/>
        <w:lang w:eastAsia="cs-CZ"/>
      </w:rPr>
      <w:tab/>
      <w:t xml:space="preserve"> č. j. </w:t>
    </w:r>
    <w:r w:rsidR="001310D7">
      <w:rPr>
        <w:noProof/>
        <w:lang w:eastAsia="cs-CZ"/>
      </w:rPr>
      <w:t>MZP</w:t>
    </w:r>
    <w:r w:rsidRPr="00160D4C" w:rsidR="00BB660F">
      <w:rPr>
        <w:noProof/>
        <w:lang w:eastAsia="cs-CZ"/>
      </w:rPr>
      <w:t>/</w:t>
    </w:r>
    <w:r w:rsidR="001310D7">
      <w:rPr>
        <w:noProof/>
        <w:lang w:eastAsia="cs-CZ"/>
      </w:rPr>
      <w:t>2022</w:t>
    </w:r>
    <w:r w:rsidRPr="00160D4C" w:rsidR="00BB660F">
      <w:rPr>
        <w:noProof/>
        <w:lang w:eastAsia="cs-CZ"/>
      </w:rPr>
      <w:t>/</w:t>
    </w:r>
    <w:r w:rsidR="001310D7">
      <w:rPr>
        <w:noProof/>
        <w:lang w:eastAsia="cs-CZ"/>
      </w:rPr>
      <w:t>610/</w:t>
    </w:r>
    <w:r w:rsidR="00DC7FE8">
      <w:rPr>
        <w:noProof/>
        <w:lang w:eastAsia="cs-CZ"/>
      </w:rPr>
      <w:t>2147</w:t>
    </w:r>
  </w:p>
  <w:p w:rsidR="00765288" w14:paraId="7E53F7B8" w14:textId="77777777">
    <w:pPr>
      <w:pStyle w:val="Header"/>
      <w:tabs>
        <w:tab w:val="left" w:pos="3250"/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0D1B93"/>
    <w:multiLevelType w:val="multilevel"/>
    <w:tmpl w:val="E8A48D7C"/>
    <w:styleLink w:val="VariantaA-sla"/>
    <w:lvl w:ilvl="0">
      <w:start w:val="1"/>
      <w:numFmt w:val="decimal"/>
      <w:pStyle w:val="ListNumber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ListNumber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ListNumber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>
    <w:nsid w:val="130316F8"/>
    <w:multiLevelType w:val="multilevel"/>
    <w:tmpl w:val="3320A8B2"/>
    <w:numStyleLink w:val="VariantaB-odrky"/>
  </w:abstractNum>
  <w:abstractNum w:abstractNumId="2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3">
    <w:nsid w:val="191872DA"/>
    <w:multiLevelType w:val="multilevel"/>
    <w:tmpl w:val="E8A48D7C"/>
    <w:numStyleLink w:val="VariantaA-sla"/>
  </w:abstractNum>
  <w:abstractNum w:abstractNumId="4">
    <w:nsid w:val="289A5EA2"/>
    <w:multiLevelType w:val="multilevel"/>
    <w:tmpl w:val="E8BAE50A"/>
    <w:numStyleLink w:val="VariantaA-odrky"/>
  </w:abstractNum>
  <w:abstractNum w:abstractNumId="5">
    <w:nsid w:val="44B940DD"/>
    <w:multiLevelType w:val="hybridMultilevel"/>
    <w:tmpl w:val="38D25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58A321E4"/>
    <w:multiLevelType w:val="multilevel"/>
    <w:tmpl w:val="E8BAE50A"/>
    <w:styleLink w:val="VariantaA-odrky"/>
    <w:lvl w:ilvl="0">
      <w:start w:val="1"/>
      <w:numFmt w:val="bullet"/>
      <w:pStyle w:val="ListBullet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ListBullet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ListBullet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ListBullet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ListBullet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8">
    <w:nsid w:val="595A2B63"/>
    <w:multiLevelType w:val="multilevel"/>
    <w:tmpl w:val="2C88D9B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>
    <w:nsid w:val="5AF35F43"/>
    <w:multiLevelType w:val="multilevel"/>
    <w:tmpl w:val="0D8ABE32"/>
    <w:numStyleLink w:val="VariantaB-sla"/>
  </w:abstractNum>
  <w:abstractNum w:abstractNumId="10">
    <w:nsid w:val="6A4767AA"/>
    <w:multiLevelType w:val="hybridMultilevel"/>
    <w:tmpl w:val="80E8CAFE"/>
    <w:lvl w:ilvl="0">
      <w:start w:val="0"/>
      <w:numFmt w:val="bullet"/>
      <w:lvlText w:val="-"/>
      <w:lvlJc w:val="left"/>
      <w:pPr>
        <w:ind w:left="720" w:hanging="360"/>
      </w:pPr>
      <w:rPr>
        <w:rFonts w:ascii="Calibri" w:hAnsi="Calibri" w:eastAsiaTheme="minorHAnsi" w:cs="Calibr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9"/>
  </w:num>
  <w:num w:numId="6">
    <w:abstractNumId w:val="4"/>
  </w:num>
  <w:num w:numId="7">
    <w:abstractNumId w:val="3"/>
  </w:num>
  <w:num w:numId="8">
    <w:abstractNumId w:val="1"/>
  </w:num>
  <w:num w:numId="9">
    <w:abstractNumId w:val="8"/>
  </w:num>
  <w:num w:numId="10">
    <w:abstractNumId w:val="10"/>
  </w:num>
  <w:num w:numId="11">
    <w:abstractNumId w:val="5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DateAndTime/>
  <w:proofState w:spelling="clean" w:grammar="clean"/>
  <w:stylePaneFormatFilter w:val="D724" w:allStyles="0" w:alternateStyleNames="1" w:clearFormatting="1" w:customStyles="0" w:directFormattingOnNumbering="1" w:directFormattingOnParagraphs="1" w:directFormattingOnRuns="1" w:directFormattingOnTables="0" w:headingStyles="1" w:latentStyles="1" w:numberingStyles="0" w:stylesInUse="0" w:tableStyles="0" w:top3HeadingStyles="0" w:visibleStyles="1"/>
  <w:defaultTabStop w:val="708"/>
  <w:hyphenationZone w:val="425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288"/>
    <w:rsid w:val="000377E0"/>
    <w:rsid w:val="00065875"/>
    <w:rsid w:val="00074384"/>
    <w:rsid w:val="00095DB0"/>
    <w:rsid w:val="000A5ADB"/>
    <w:rsid w:val="000E27EC"/>
    <w:rsid w:val="000E610F"/>
    <w:rsid w:val="000F60A2"/>
    <w:rsid w:val="00103D48"/>
    <w:rsid w:val="001134FB"/>
    <w:rsid w:val="00124AFB"/>
    <w:rsid w:val="001310D7"/>
    <w:rsid w:val="00131A45"/>
    <w:rsid w:val="0015556C"/>
    <w:rsid w:val="00160D4C"/>
    <w:rsid w:val="00161D7E"/>
    <w:rsid w:val="001622D2"/>
    <w:rsid w:val="00162A19"/>
    <w:rsid w:val="00166980"/>
    <w:rsid w:val="00175835"/>
    <w:rsid w:val="00177BC8"/>
    <w:rsid w:val="001858BC"/>
    <w:rsid w:val="001A14CA"/>
    <w:rsid w:val="001A65F9"/>
    <w:rsid w:val="001C3F5F"/>
    <w:rsid w:val="001D1B48"/>
    <w:rsid w:val="001D7A99"/>
    <w:rsid w:val="001E1F52"/>
    <w:rsid w:val="001E39D7"/>
    <w:rsid w:val="00200F30"/>
    <w:rsid w:val="00203786"/>
    <w:rsid w:val="00210241"/>
    <w:rsid w:val="00233DFA"/>
    <w:rsid w:val="00256ECB"/>
    <w:rsid w:val="002607EB"/>
    <w:rsid w:val="002655BC"/>
    <w:rsid w:val="00280738"/>
    <w:rsid w:val="002971C1"/>
    <w:rsid w:val="002B7C3A"/>
    <w:rsid w:val="002D5178"/>
    <w:rsid w:val="00302C03"/>
    <w:rsid w:val="00344176"/>
    <w:rsid w:val="003621E8"/>
    <w:rsid w:val="0036565D"/>
    <w:rsid w:val="003736CD"/>
    <w:rsid w:val="00374147"/>
    <w:rsid w:val="0037791B"/>
    <w:rsid w:val="0039407B"/>
    <w:rsid w:val="003B0797"/>
    <w:rsid w:val="003C1260"/>
    <w:rsid w:val="003C2E8B"/>
    <w:rsid w:val="003C76E8"/>
    <w:rsid w:val="004119E3"/>
    <w:rsid w:val="004268BD"/>
    <w:rsid w:val="00434E03"/>
    <w:rsid w:val="00444E94"/>
    <w:rsid w:val="00445FBD"/>
    <w:rsid w:val="004701C8"/>
    <w:rsid w:val="0049689E"/>
    <w:rsid w:val="004C142E"/>
    <w:rsid w:val="004D247C"/>
    <w:rsid w:val="004D4E99"/>
    <w:rsid w:val="004D536D"/>
    <w:rsid w:val="0050553A"/>
    <w:rsid w:val="00523E63"/>
    <w:rsid w:val="00553D9E"/>
    <w:rsid w:val="005541D5"/>
    <w:rsid w:val="0056195E"/>
    <w:rsid w:val="0056569F"/>
    <w:rsid w:val="005739B4"/>
    <w:rsid w:val="0057540A"/>
    <w:rsid w:val="005777F5"/>
    <w:rsid w:val="00584884"/>
    <w:rsid w:val="00593C68"/>
    <w:rsid w:val="005A4541"/>
    <w:rsid w:val="005A5393"/>
    <w:rsid w:val="005B00BC"/>
    <w:rsid w:val="005D24C8"/>
    <w:rsid w:val="005D79BD"/>
    <w:rsid w:val="006145F4"/>
    <w:rsid w:val="006316EC"/>
    <w:rsid w:val="00631FF1"/>
    <w:rsid w:val="00642BE8"/>
    <w:rsid w:val="00647634"/>
    <w:rsid w:val="0066563C"/>
    <w:rsid w:val="00665905"/>
    <w:rsid w:val="006872C7"/>
    <w:rsid w:val="006B7371"/>
    <w:rsid w:val="006C3390"/>
    <w:rsid w:val="006D5203"/>
    <w:rsid w:val="006D7030"/>
    <w:rsid w:val="006E09FB"/>
    <w:rsid w:val="007127CB"/>
    <w:rsid w:val="00712AE1"/>
    <w:rsid w:val="00747562"/>
    <w:rsid w:val="00765288"/>
    <w:rsid w:val="0078750C"/>
    <w:rsid w:val="00790230"/>
    <w:rsid w:val="007972B4"/>
    <w:rsid w:val="007A73B6"/>
    <w:rsid w:val="007C3D33"/>
    <w:rsid w:val="0080099A"/>
    <w:rsid w:val="00815355"/>
    <w:rsid w:val="00831719"/>
    <w:rsid w:val="00833A41"/>
    <w:rsid w:val="00841109"/>
    <w:rsid w:val="00857D2C"/>
    <w:rsid w:val="00862379"/>
    <w:rsid w:val="00874A57"/>
    <w:rsid w:val="00880F5D"/>
    <w:rsid w:val="00891285"/>
    <w:rsid w:val="008B7FF4"/>
    <w:rsid w:val="008C5A75"/>
    <w:rsid w:val="008E4F0C"/>
    <w:rsid w:val="008F02D7"/>
    <w:rsid w:val="008F2945"/>
    <w:rsid w:val="009207DA"/>
    <w:rsid w:val="00926FCC"/>
    <w:rsid w:val="00931F6E"/>
    <w:rsid w:val="00933B63"/>
    <w:rsid w:val="009340AD"/>
    <w:rsid w:val="00943E4E"/>
    <w:rsid w:val="009617E0"/>
    <w:rsid w:val="00970C18"/>
    <w:rsid w:val="00972B17"/>
    <w:rsid w:val="009750B3"/>
    <w:rsid w:val="00995AC8"/>
    <w:rsid w:val="009A148C"/>
    <w:rsid w:val="009B06B2"/>
    <w:rsid w:val="009D268B"/>
    <w:rsid w:val="009D6F00"/>
    <w:rsid w:val="00A06D86"/>
    <w:rsid w:val="00A24D23"/>
    <w:rsid w:val="00A40413"/>
    <w:rsid w:val="00A7674A"/>
    <w:rsid w:val="00A8160B"/>
    <w:rsid w:val="00A818EF"/>
    <w:rsid w:val="00A9431A"/>
    <w:rsid w:val="00AA712C"/>
    <w:rsid w:val="00AC16B4"/>
    <w:rsid w:val="00AC5321"/>
    <w:rsid w:val="00AC5C8D"/>
    <w:rsid w:val="00AD744C"/>
    <w:rsid w:val="00AE5052"/>
    <w:rsid w:val="00AF7BBA"/>
    <w:rsid w:val="00B0024E"/>
    <w:rsid w:val="00B01030"/>
    <w:rsid w:val="00B07F8D"/>
    <w:rsid w:val="00B2735F"/>
    <w:rsid w:val="00B33EB3"/>
    <w:rsid w:val="00B4647C"/>
    <w:rsid w:val="00B62D3B"/>
    <w:rsid w:val="00B87E9A"/>
    <w:rsid w:val="00B9019A"/>
    <w:rsid w:val="00B90537"/>
    <w:rsid w:val="00BA6895"/>
    <w:rsid w:val="00BB660F"/>
    <w:rsid w:val="00BB7BB3"/>
    <w:rsid w:val="00BC6116"/>
    <w:rsid w:val="00BE4C48"/>
    <w:rsid w:val="00BE4E2E"/>
    <w:rsid w:val="00BF3AA0"/>
    <w:rsid w:val="00C07DA8"/>
    <w:rsid w:val="00C1360B"/>
    <w:rsid w:val="00C13B7E"/>
    <w:rsid w:val="00C20956"/>
    <w:rsid w:val="00C264AD"/>
    <w:rsid w:val="00C364E1"/>
    <w:rsid w:val="00C36FFD"/>
    <w:rsid w:val="00C44F12"/>
    <w:rsid w:val="00C812E7"/>
    <w:rsid w:val="00C85FAC"/>
    <w:rsid w:val="00CB6E97"/>
    <w:rsid w:val="00CE7CB6"/>
    <w:rsid w:val="00D16582"/>
    <w:rsid w:val="00D16F36"/>
    <w:rsid w:val="00D23979"/>
    <w:rsid w:val="00D5053E"/>
    <w:rsid w:val="00D63216"/>
    <w:rsid w:val="00D951C9"/>
    <w:rsid w:val="00D96F93"/>
    <w:rsid w:val="00DC2109"/>
    <w:rsid w:val="00DC7FE8"/>
    <w:rsid w:val="00DD05A8"/>
    <w:rsid w:val="00DD48BE"/>
    <w:rsid w:val="00DD5802"/>
    <w:rsid w:val="00E01181"/>
    <w:rsid w:val="00E13D18"/>
    <w:rsid w:val="00E4194A"/>
    <w:rsid w:val="00E53D67"/>
    <w:rsid w:val="00E5458C"/>
    <w:rsid w:val="00E56B45"/>
    <w:rsid w:val="00E62587"/>
    <w:rsid w:val="00E67A08"/>
    <w:rsid w:val="00E75827"/>
    <w:rsid w:val="00E75B2F"/>
    <w:rsid w:val="00E93764"/>
    <w:rsid w:val="00E9753A"/>
    <w:rsid w:val="00EA4F91"/>
    <w:rsid w:val="00EF7B1B"/>
    <w:rsid w:val="00F0063C"/>
    <w:rsid w:val="00F10270"/>
    <w:rsid w:val="00F21655"/>
    <w:rsid w:val="00F31879"/>
    <w:rsid w:val="00F329C4"/>
    <w:rsid w:val="00F359D1"/>
    <w:rsid w:val="00F80E5D"/>
    <w:rsid w:val="00F916C1"/>
    <w:rsid w:val="00FB2075"/>
    <w:rsid w:val="00FC5A08"/>
    <w:rsid w:val="00FD500B"/>
    <w:rsid w:val="00FD629B"/>
    <w:rsid w:val="00FD6A66"/>
    <w:rsid w:val="00FE1EBC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DF97FEB0-3D6A-49CF-9AEC-5326527F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7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7CB"/>
    <w:pPr>
      <w:spacing w:after="120" w:line="288" w:lineRule="auto"/>
      <w:jc w:val="both"/>
    </w:pPr>
    <w:rPr>
      <w:rFonts w:ascii="Franklin Gothic Book" w:hAnsi="Franklin Gothic Book"/>
      <w:color w:val="000000" w:themeColor="text1"/>
    </w:rPr>
  </w:style>
  <w:style w:type="paragraph" w:styleId="Heading1">
    <w:name w:val="heading 1"/>
    <w:basedOn w:val="Normal"/>
    <w:next w:val="Normal"/>
    <w:link w:val="Nadpis1Char"/>
    <w:autoRedefine/>
    <w:uiPriority w:val="7"/>
    <w:qFormat/>
    <w:rsid w:val="007127CB"/>
    <w:pPr>
      <w:keepNext/>
      <w:keepLines/>
      <w:numPr>
        <w:numId w:val="9"/>
      </w:numPr>
      <w:spacing w:before="160" w:after="0"/>
      <w:outlineLvl w:val="0"/>
    </w:pPr>
    <w:rPr>
      <w:rFonts w:eastAsiaTheme="majorEastAsia" w:cstheme="majorBidi"/>
      <w:b/>
      <w:sz w:val="26"/>
      <w:szCs w:val="32"/>
    </w:rPr>
  </w:style>
  <w:style w:type="paragraph" w:styleId="Heading2">
    <w:name w:val="heading 2"/>
    <w:basedOn w:val="Heading1"/>
    <w:next w:val="Normal"/>
    <w:link w:val="Nadpis2Char"/>
    <w:autoRedefine/>
    <w:uiPriority w:val="7"/>
    <w:unhideWhenUsed/>
    <w:qFormat/>
    <w:rsid w:val="003C76E8"/>
    <w:pPr>
      <w:numPr>
        <w:numId w:val="0"/>
      </w:numPr>
      <w:spacing w:before="0" w:line="276" w:lineRule="auto"/>
      <w:outlineLvl w:val="1"/>
    </w:pPr>
    <w:rPr>
      <w:rFonts w:eastAsiaTheme="minorHAnsi"/>
      <w:b w:val="0"/>
      <w:sz w:val="22"/>
    </w:rPr>
  </w:style>
  <w:style w:type="paragraph" w:styleId="Heading3">
    <w:name w:val="heading 3"/>
    <w:basedOn w:val="Normal"/>
    <w:next w:val="Normal"/>
    <w:link w:val="Nadpis3Char"/>
    <w:autoRedefine/>
    <w:uiPriority w:val="7"/>
    <w:unhideWhenUsed/>
    <w:qFormat/>
    <w:rsid w:val="0056569F"/>
    <w:pPr>
      <w:keepNext/>
      <w:keepLines/>
      <w:numPr>
        <w:ilvl w:val="2"/>
        <w:numId w:val="9"/>
      </w:numPr>
      <w:spacing w:before="40" w:after="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Heading4">
    <w:name w:val="heading 4"/>
    <w:basedOn w:val="Normal"/>
    <w:next w:val="Normal"/>
    <w:link w:val="Nadpis4Char"/>
    <w:uiPriority w:val="7"/>
    <w:unhideWhenUsed/>
    <w:qFormat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Heading5">
    <w:name w:val="heading 5"/>
    <w:basedOn w:val="Normal"/>
    <w:next w:val="Normal"/>
    <w:link w:val="Nadpis5Char"/>
    <w:uiPriority w:val="7"/>
    <w:unhideWhenUsed/>
    <w:qFormat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Nadpis6Char"/>
    <w:uiPriority w:val="7"/>
    <w:unhideWhenUsed/>
    <w:qFormat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Heading7">
    <w:name w:val="heading 7"/>
    <w:basedOn w:val="Normal"/>
    <w:next w:val="Normal"/>
    <w:link w:val="Nadpis7Char"/>
    <w:uiPriority w:val="7"/>
    <w:unhideWhenUsed/>
    <w:qFormat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Heading8">
    <w:name w:val="heading 8"/>
    <w:basedOn w:val="Normal"/>
    <w:next w:val="Normal"/>
    <w:link w:val="Nadpis8Char"/>
    <w:uiPriority w:val="7"/>
    <w:unhideWhenUsed/>
    <w:qFormat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Nadpis9Char"/>
    <w:uiPriority w:val="7"/>
    <w:unhideWhenUsed/>
    <w:qFormat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5"/>
    <w:unhideWhenUsed/>
    <w:qFormat/>
    <w:pPr>
      <w:ind w:left="720"/>
      <w:contextualSpacing/>
    </w:pPr>
  </w:style>
  <w:style w:type="numbering" w:customStyle="1" w:styleId="VariantaB-odrky">
    <w:name w:val="Varianta B - odrážky"/>
    <w:uiPriority w:val="99"/>
    <w:pPr>
      <w:numPr>
        <w:numId w:val="1"/>
      </w:numPr>
    </w:pPr>
  </w:style>
  <w:style w:type="character" w:customStyle="1" w:styleId="Nadpis1Char">
    <w:name w:val="Nadpis 1 Char"/>
    <w:basedOn w:val="DefaultParagraphFont"/>
    <w:link w:val="Heading1"/>
    <w:uiPriority w:val="7"/>
    <w:rsid w:val="007127CB"/>
    <w:rPr>
      <w:rFonts w:ascii="Franklin Gothic Book" w:hAnsi="Franklin Gothic Book" w:eastAsiaTheme="majorEastAsia" w:cstheme="majorBidi"/>
      <w:b/>
      <w:color w:val="000000" w:themeColor="text1"/>
      <w:sz w:val="26"/>
      <w:szCs w:val="32"/>
    </w:rPr>
  </w:style>
  <w:style w:type="numbering" w:customStyle="1" w:styleId="VariantaA-odrky">
    <w:name w:val="Varianta A - odrážky"/>
    <w:uiPriority w:val="99"/>
    <w:pPr>
      <w:numPr>
        <w:numId w:val="2"/>
      </w:numPr>
    </w:pPr>
  </w:style>
  <w:style w:type="character" w:customStyle="1" w:styleId="Nadpis2Char">
    <w:name w:val="Nadpis 2 Char"/>
    <w:basedOn w:val="DefaultParagraphFont"/>
    <w:link w:val="Heading2"/>
    <w:uiPriority w:val="7"/>
    <w:rsid w:val="003C76E8"/>
    <w:rPr>
      <w:rFonts w:ascii="Franklin Gothic Book" w:hAnsi="Franklin Gothic Book" w:cstheme="majorBidi"/>
      <w:color w:val="000000" w:themeColor="text1"/>
      <w:szCs w:val="32"/>
    </w:rPr>
  </w:style>
  <w:style w:type="numbering" w:customStyle="1" w:styleId="VariantaA-sla">
    <w:name w:val="Varianta A - čísla"/>
    <w:uiPriority w:val="99"/>
    <w:pPr>
      <w:numPr>
        <w:numId w:val="4"/>
      </w:numPr>
    </w:pPr>
  </w:style>
  <w:style w:type="numbering" w:customStyle="1" w:styleId="VariantaB-sla">
    <w:name w:val="Varianta B - čísla"/>
    <w:uiPriority w:val="99"/>
    <w:pPr>
      <w:numPr>
        <w:numId w:val="3"/>
      </w:numPr>
    </w:pPr>
  </w:style>
  <w:style w:type="character" w:customStyle="1" w:styleId="Nadpis3Char">
    <w:name w:val="Nadpis 3 Char"/>
    <w:basedOn w:val="DefaultParagraphFont"/>
    <w:link w:val="Heading3"/>
    <w:uiPriority w:val="7"/>
    <w:rsid w:val="0056569F"/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customStyle="1" w:styleId="Nadpis4Char">
    <w:name w:val="Nadpis 4 Char"/>
    <w:basedOn w:val="DefaultParagraphFont"/>
    <w:link w:val="Heading4"/>
    <w:uiPriority w:val="7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DefaultParagraphFont"/>
    <w:link w:val="Heading5"/>
    <w:uiPriority w:val="7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DefaultParagraphFont"/>
    <w:link w:val="Heading6"/>
    <w:uiPriority w:val="7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DefaultParagraphFont"/>
    <w:link w:val="Heading7"/>
    <w:uiPriority w:val="7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DefaultParagraphFont"/>
    <w:link w:val="Heading8"/>
    <w:uiPriority w:val="7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DefaultParagraphFont"/>
    <w:link w:val="Heading9"/>
    <w:uiPriority w:val="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NzevChar"/>
    <w:uiPriority w:val="4"/>
    <w:qFormat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DefaultParagraphFont"/>
    <w:link w:val="Title"/>
    <w:uiPriority w:val="4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IntenseEmphasis">
    <w:name w:val="Intense Emphasis"/>
    <w:basedOn w:val="DefaultParagraphFont"/>
    <w:uiPriority w:val="21"/>
    <w:qFormat/>
    <w:rPr>
      <w:b/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VrazncittChar"/>
    <w:uiPriority w:val="28"/>
    <w:qFormat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DefaultParagraphFont"/>
    <w:link w:val="IntenseQuote"/>
    <w:uiPriority w:val="28"/>
    <w:rPr>
      <w:i/>
      <w:iCs/>
      <w:color w:val="000000" w:themeColor="text1"/>
    </w:rPr>
  </w:style>
  <w:style w:type="character" w:styleId="IntenseReference">
    <w:name w:val="Intense Reference"/>
    <w:basedOn w:val="DefaultParagraphFont"/>
    <w:uiPriority w:val="24"/>
    <w:qFormat/>
    <w:rPr>
      <w:b/>
      <w:bCs/>
      <w:smallCaps/>
      <w:color w:val="000000" w:themeColor="text1"/>
      <w:spacing w:val="5"/>
    </w:rPr>
  </w:style>
  <w:style w:type="paragraph" w:styleId="ListNumber">
    <w:name w:val="List Number"/>
    <w:aliases w:val="Číslovaný seznam A"/>
    <w:basedOn w:val="Normal"/>
    <w:uiPriority w:val="15"/>
    <w:qFormat/>
    <w:pPr>
      <w:numPr>
        <w:numId w:val="7"/>
      </w:numPr>
      <w:spacing w:after="0"/>
    </w:pPr>
  </w:style>
  <w:style w:type="paragraph" w:styleId="ListNumber2">
    <w:name w:val="List Number 2"/>
    <w:aliases w:val="Číslovaný seznam A 2"/>
    <w:basedOn w:val="Normal"/>
    <w:uiPriority w:val="15"/>
    <w:qFormat/>
    <w:pPr>
      <w:numPr>
        <w:ilvl w:val="1"/>
        <w:numId w:val="7"/>
      </w:numPr>
      <w:spacing w:after="0"/>
      <w:contextualSpacing/>
    </w:pPr>
  </w:style>
  <w:style w:type="paragraph" w:styleId="ListNumber3">
    <w:name w:val="List Number 3"/>
    <w:aliases w:val="Číslovaný seznam A 3"/>
    <w:basedOn w:val="Normal"/>
    <w:uiPriority w:val="15"/>
    <w:qFormat/>
    <w:pPr>
      <w:numPr>
        <w:ilvl w:val="2"/>
        <w:numId w:val="7"/>
      </w:numPr>
      <w:spacing w:after="0"/>
      <w:contextualSpacing/>
    </w:pPr>
  </w:style>
  <w:style w:type="paragraph" w:styleId="ListNumber4">
    <w:name w:val="List Number 4"/>
    <w:aliases w:val="Číslovaný seznam A 4"/>
    <w:basedOn w:val="Normal"/>
    <w:uiPriority w:val="15"/>
    <w:qFormat/>
    <w:pPr>
      <w:numPr>
        <w:ilvl w:val="3"/>
        <w:numId w:val="7"/>
      </w:numPr>
      <w:spacing w:after="0"/>
      <w:contextualSpacing/>
    </w:pPr>
  </w:style>
  <w:style w:type="paragraph" w:styleId="ListNumber5">
    <w:name w:val="List Number 5"/>
    <w:aliases w:val="Číslovaný seznam A 5"/>
    <w:basedOn w:val="Normal"/>
    <w:uiPriority w:val="15"/>
    <w:qFormat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al"/>
    <w:uiPriority w:val="16"/>
    <w:qFormat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al"/>
    <w:uiPriority w:val="16"/>
    <w:qFormat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al"/>
    <w:uiPriority w:val="16"/>
    <w:qFormat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al"/>
    <w:uiPriority w:val="16"/>
    <w:qFormat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al"/>
    <w:uiPriority w:val="16"/>
    <w:qFormat/>
    <w:pPr>
      <w:numPr>
        <w:ilvl w:val="4"/>
        <w:numId w:val="5"/>
      </w:numPr>
      <w:spacing w:after="0"/>
    </w:pPr>
  </w:style>
  <w:style w:type="paragraph" w:styleId="ListBullet3">
    <w:name w:val="List Bullet 3"/>
    <w:aliases w:val="Seznam s odrážkami A 3"/>
    <w:basedOn w:val="Normal"/>
    <w:uiPriority w:val="10"/>
    <w:qFormat/>
    <w:pPr>
      <w:numPr>
        <w:ilvl w:val="2"/>
        <w:numId w:val="6"/>
      </w:numPr>
      <w:spacing w:after="0"/>
      <w:contextualSpacing/>
    </w:pPr>
  </w:style>
  <w:style w:type="paragraph" w:styleId="ListBullet4">
    <w:name w:val="List Bullet 4"/>
    <w:aliases w:val="Seznam s odrážkami A 4"/>
    <w:basedOn w:val="Normal"/>
    <w:uiPriority w:val="10"/>
    <w:qFormat/>
    <w:pPr>
      <w:numPr>
        <w:ilvl w:val="3"/>
        <w:numId w:val="6"/>
      </w:numPr>
      <w:spacing w:after="0"/>
      <w:contextualSpacing/>
    </w:pPr>
  </w:style>
  <w:style w:type="paragraph" w:styleId="ListBullet5">
    <w:name w:val="List Bullet 5"/>
    <w:aliases w:val="Seznam s odrážkami A 5"/>
    <w:basedOn w:val="Normal"/>
    <w:uiPriority w:val="10"/>
    <w:qFormat/>
    <w:pPr>
      <w:numPr>
        <w:ilvl w:val="4"/>
        <w:numId w:val="6"/>
      </w:numPr>
      <w:spacing w:after="0"/>
    </w:pPr>
  </w:style>
  <w:style w:type="paragraph" w:styleId="ListBullet">
    <w:name w:val="List Bullet"/>
    <w:aliases w:val="Seznam s odrážkami A"/>
    <w:basedOn w:val="Normal"/>
    <w:uiPriority w:val="10"/>
    <w:qFormat/>
    <w:pPr>
      <w:numPr>
        <w:numId w:val="6"/>
      </w:numPr>
      <w:spacing w:after="0"/>
      <w:contextualSpacing/>
    </w:pPr>
  </w:style>
  <w:style w:type="paragraph" w:styleId="ListBullet2">
    <w:name w:val="List Bullet 2"/>
    <w:aliases w:val="Seznam s odrážkami A 2"/>
    <w:basedOn w:val="Normal"/>
    <w:uiPriority w:val="10"/>
    <w:qFormat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al"/>
    <w:next w:val="Normal"/>
    <w:uiPriority w:val="8"/>
    <w:qFormat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al"/>
    <w:next w:val="Normal"/>
    <w:uiPriority w:val="8"/>
    <w:qFormat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al"/>
    <w:next w:val="Normal"/>
    <w:uiPriority w:val="8"/>
    <w:qFormat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al"/>
    <w:next w:val="Normal"/>
    <w:uiPriority w:val="8"/>
    <w:qFormat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al"/>
    <w:next w:val="Normal"/>
    <w:uiPriority w:val="8"/>
    <w:qFormat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al"/>
    <w:next w:val="Normal"/>
    <w:uiPriority w:val="8"/>
    <w:qFormat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al"/>
    <w:next w:val="Normal"/>
    <w:uiPriority w:val="8"/>
    <w:qFormat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al"/>
    <w:next w:val="Normal"/>
    <w:uiPriority w:val="8"/>
    <w:qFormat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al"/>
    <w:next w:val="Normal"/>
    <w:uiPriority w:val="8"/>
    <w:qFormat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Subtitle">
    <w:name w:val="Subtitle"/>
    <w:basedOn w:val="Normal"/>
    <w:next w:val="Normal"/>
    <w:link w:val="PodnadpisChar"/>
    <w:uiPriority w:val="5"/>
    <w:qFormat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DefaultParagraphFont"/>
    <w:link w:val="Subtitle"/>
    <w:uiPriority w:val="5"/>
    <w:rPr>
      <w:rFonts w:eastAsiaTheme="minorEastAsia"/>
      <w:color w:val="595959" w:themeColor="text1" w:themeTint="A6"/>
      <w:spacing w:val="15"/>
      <w:sz w:val="28"/>
    </w:rPr>
  </w:style>
  <w:style w:type="paragraph" w:styleId="TOC1">
    <w:name w:val="toc 1"/>
    <w:basedOn w:val="Normal"/>
    <w:next w:val="Normal"/>
    <w:autoRedefine/>
    <w:uiPriority w:val="39"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pPr>
      <w:spacing w:after="100"/>
      <w:ind w:left="1760"/>
    </w:pPr>
  </w:style>
  <w:style w:type="character" w:styleId="Hyperlink">
    <w:name w:val="Hyperlink"/>
    <w:basedOn w:val="DefaultParagraphFont"/>
    <w:uiPriority w:val="99"/>
    <w:unhideWhenUsed/>
    <w:rPr>
      <w:color w:val="004B8D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595959" w:themeColor="text1" w:themeTint="A6"/>
    </w:rPr>
  </w:style>
  <w:style w:type="character" w:styleId="SubtleReference">
    <w:name w:val="Subtle Reference"/>
    <w:basedOn w:val="DefaultParagraphFont"/>
    <w:uiPriority w:val="23"/>
    <w:qFormat/>
    <w:rPr>
      <w:smallCaps/>
      <w:color w:val="5A5A5A" w:themeColor="text1" w:themeTint="A5"/>
    </w:rPr>
  </w:style>
  <w:style w:type="paragraph" w:styleId="Quote">
    <w:name w:val="Quote"/>
    <w:basedOn w:val="Normal"/>
    <w:next w:val="Normal"/>
    <w:link w:val="CittChar"/>
    <w:uiPriority w:val="27"/>
    <w:qFormat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DefaultParagraphFont"/>
    <w:link w:val="Quote"/>
    <w:uiPriority w:val="27"/>
    <w:rPr>
      <w:i/>
      <w:iCs/>
      <w:color w:val="595959" w:themeColor="text1" w:themeTint="A6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TOCHeading">
    <w:name w:val="TOC Heading"/>
    <w:basedOn w:val="Nadpis1-mimoobsah"/>
    <w:next w:val="Normal"/>
    <w:uiPriority w:val="6"/>
    <w:unhideWhenUsed/>
    <w:qFormat/>
    <w:rsid w:val="007127CB"/>
    <w:rPr>
      <w:rFonts w:ascii="Franklin Gothic Book" w:hAnsi="Franklin Gothic Book"/>
    </w:rPr>
  </w:style>
  <w:style w:type="paragraph" w:styleId="Date">
    <w:name w:val="Date"/>
    <w:basedOn w:val="Normal"/>
    <w:next w:val="Normal"/>
    <w:link w:val="DatumChar"/>
    <w:uiPriority w:val="31"/>
    <w:unhideWhenUsed/>
  </w:style>
  <w:style w:type="character" w:customStyle="1" w:styleId="DatumChar">
    <w:name w:val="Datum Char"/>
    <w:basedOn w:val="DefaultParagraphFont"/>
    <w:link w:val="Date"/>
    <w:uiPriority w:val="31"/>
    <w:rPr>
      <w:color w:val="000000" w:themeColor="text1"/>
    </w:rPr>
  </w:style>
  <w:style w:type="paragraph" w:styleId="BlockText">
    <w:name w:val="Block Text"/>
    <w:basedOn w:val="Normal"/>
    <w:uiPriority w:val="29"/>
    <w:unhideWhenUsed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FollowedHyperlink">
    <w:name w:val="FollowedHyperlink"/>
    <w:basedOn w:val="DefaultParagraphFont"/>
    <w:uiPriority w:val="34"/>
    <w:semiHidden/>
    <w:unhideWhenUsed/>
    <w:rPr>
      <w:color w:val="595959" w:themeColor="text1" w:themeTint="A6"/>
      <w:u w:val="single"/>
    </w:rPr>
  </w:style>
  <w:style w:type="paragraph" w:styleId="BodyText">
    <w:name w:val="Body Text"/>
    <w:basedOn w:val="Normal"/>
    <w:link w:val="ZkladntextChar"/>
    <w:uiPriority w:val="1"/>
  </w:style>
  <w:style w:type="character" w:customStyle="1" w:styleId="ZkladntextChar">
    <w:name w:val="Základní text Char"/>
    <w:basedOn w:val="DefaultParagraphFont"/>
    <w:link w:val="BodyText"/>
    <w:uiPriority w:val="1"/>
    <w:rPr>
      <w:color w:val="000000" w:themeColor="text1"/>
    </w:rPr>
  </w:style>
  <w:style w:type="paragraph" w:styleId="BodyTextFirstIndent">
    <w:name w:val="Body Text First Indent"/>
    <w:basedOn w:val="BodyText"/>
    <w:link w:val="Zkladntext-prvnodsazenChar"/>
    <w:uiPriority w:val="1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BodyTextFirstIndent"/>
    <w:uiPriority w:val="1"/>
    <w:rPr>
      <w:color w:val="000000" w:themeColor="text1"/>
    </w:rPr>
  </w:style>
  <w:style w:type="paragraph" w:styleId="BodyTextIndent">
    <w:name w:val="Body Text Indent"/>
    <w:basedOn w:val="Normal"/>
    <w:link w:val="ZkladntextodsazenChar"/>
    <w:uiPriority w:val="1"/>
    <w:pPr>
      <w:ind w:left="357"/>
    </w:pPr>
  </w:style>
  <w:style w:type="character" w:customStyle="1" w:styleId="ZkladntextodsazenChar">
    <w:name w:val="Základní text odsazený Char"/>
    <w:basedOn w:val="DefaultParagraphFont"/>
    <w:link w:val="BodyTextIndent"/>
    <w:uiPriority w:val="1"/>
    <w:rPr>
      <w:color w:val="000000" w:themeColor="text1"/>
    </w:rPr>
  </w:style>
  <w:style w:type="paragraph" w:customStyle="1" w:styleId="SeznamsodrkamiB">
    <w:name w:val="Seznam s odrážkami B"/>
    <w:basedOn w:val="Normal"/>
    <w:uiPriority w:val="11"/>
    <w:qFormat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al"/>
    <w:uiPriority w:val="11"/>
    <w:qFormat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al"/>
    <w:uiPriority w:val="11"/>
    <w:qFormat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al"/>
    <w:uiPriority w:val="11"/>
    <w:qFormat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al"/>
    <w:uiPriority w:val="11"/>
    <w:qFormat/>
    <w:pPr>
      <w:numPr>
        <w:ilvl w:val="4"/>
        <w:numId w:val="8"/>
      </w:numPr>
      <w:spacing w:after="0"/>
    </w:pPr>
  </w:style>
  <w:style w:type="paragraph" w:styleId="Header">
    <w:name w:val="header"/>
    <w:basedOn w:val="Normal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DefaultParagraphFont"/>
    <w:link w:val="Header"/>
    <w:uiPriority w:val="99"/>
    <w:rPr>
      <w:color w:val="000000" w:themeColor="text1"/>
    </w:rPr>
  </w:style>
  <w:style w:type="paragraph" w:styleId="Footer">
    <w:name w:val="footer"/>
    <w:basedOn w:val="Normal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DefaultParagraphFont"/>
    <w:link w:val="Footer"/>
    <w:uiPriority w:val="99"/>
    <w:rPr>
      <w:color w:val="000000" w:themeColor="text1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al"/>
    <w:link w:val="TabulkaChar"/>
    <w:qFormat/>
    <w:pPr>
      <w:textboxTightWrap w:val="allLines"/>
      <w:spacing w:before="60" w:after="60" w:line="0" w:lineRule="atLeast"/>
    </w:pPr>
    <w:rPr>
      <w:color w:val="auto"/>
    </w:rPr>
  </w:style>
  <w:style w:type="character" w:customStyle="1" w:styleId="TabulkaChar">
    <w:name w:val="Tabulka Char"/>
    <w:basedOn w:val="DefaultParagraphFont"/>
    <w:link w:val="Tabulka"/>
  </w:style>
  <w:style w:type="character" w:customStyle="1" w:styleId="normaltextrun">
    <w:name w:val="normaltextrun"/>
    <w:basedOn w:val="DefaultParagraphFont"/>
  </w:style>
  <w:style w:type="character" w:customStyle="1" w:styleId="spellingerror">
    <w:name w:val="spellingerror"/>
    <w:basedOn w:val="DefaultParagraphFont"/>
  </w:style>
  <w:style w:type="character" w:customStyle="1" w:styleId="eop">
    <w:name w:val="eop"/>
    <w:basedOn w:val="DefaultParagraphFont"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semiHidden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Pr>
      <w:b/>
      <w:bCs/>
      <w:color w:val="000000" w:themeColor="text1"/>
      <w:sz w:val="20"/>
      <w:szCs w:val="20"/>
    </w:rPr>
  </w:style>
  <w:style w:type="paragraph" w:styleId="BalloonText">
    <w:name w:val="Balloon Text"/>
    <w:basedOn w:val="Normal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Pr>
      <w:rFonts w:ascii="Segoe UI" w:hAnsi="Segoe UI" w:cs="Segoe UI"/>
      <w:color w:val="000000" w:themeColor="text1"/>
      <w:sz w:val="18"/>
      <w:szCs w:val="18"/>
    </w:rPr>
  </w:style>
  <w:style w:type="paragraph" w:styleId="FootnoteText">
    <w:name w:val="footnote text"/>
    <w:basedOn w:val="Normal"/>
    <w:link w:val="TextpoznpodarouChar"/>
    <w:uiPriority w:val="99"/>
    <w:semiHidden/>
    <w:unhideWhenUsed/>
    <w:rsid w:val="006B737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DefaultParagraphFont"/>
    <w:link w:val="FootnoteText"/>
    <w:uiPriority w:val="99"/>
    <w:semiHidden/>
    <w:rsid w:val="006B7371"/>
    <w:rPr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B7371"/>
    <w:rPr>
      <w:vertAlign w:val="superscript"/>
    </w:rPr>
  </w:style>
  <w:style w:type="character" w:customStyle="1" w:styleId="Nevyeenzmnka1">
    <w:name w:val="Nevyřešená zmínka1"/>
    <w:basedOn w:val="DefaultParagraphFont"/>
    <w:uiPriority w:val="99"/>
    <w:semiHidden/>
    <w:unhideWhenUsed/>
    <w:rsid w:val="00DD05A8"/>
    <w:rPr>
      <w:color w:val="605E5C"/>
      <w:shd w:val="clear" w:color="auto" w:fill="E1DFDD"/>
    </w:rPr>
  </w:style>
  <w:style w:type="character" w:customStyle="1" w:styleId="Jin">
    <w:name w:val="Jiné_"/>
    <w:basedOn w:val="DefaultParagraphFont"/>
    <w:link w:val="Jin0"/>
    <w:rsid w:val="0036565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Jin0">
    <w:name w:val="Jiné"/>
    <w:basedOn w:val="Normal"/>
    <w:link w:val="Jin"/>
    <w:rsid w:val="0036565D"/>
    <w:pPr>
      <w:widowControl w:val="0"/>
      <w:shd w:val="clear" w:color="auto" w:fill="FFFFFF"/>
    </w:pPr>
    <w:rPr>
      <w:rFonts w:ascii="Verdana" w:eastAsia="Verdana" w:hAnsi="Verdana" w:cs="Verdana"/>
      <w:color w:val="auto"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C2E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s://www.planobnovycr.cz/dokumenty" TargetMode="Externa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4A477-06B6-47E2-9B08-44D26446F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1309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Nečasová Jana</dc:creator>
  <cp:lastModifiedBy>Fibír Josef</cp:lastModifiedBy>
  <cp:revision>7</cp:revision>
  <dcterms:created xsi:type="dcterms:W3CDTF">2022-08-17T12:48:00Z</dcterms:created>
  <dcterms:modified xsi:type="dcterms:W3CDTF">2022-08-19T13:00:00Z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MZP/2022/610/2147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MZP/2022/610/2147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17.8.2022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&lt;TABLE&gt;&lt;TR&gt;&lt;TD&gt;Č.j.:&lt;/TD&gt;&lt;TD&gt;MZP/2022/610/2147&lt;/TD&gt;&lt;/TR&gt;&lt;TR&gt;&lt;TD&gt;&lt;/TD&gt;&lt;TD&gt;&lt;/TD&gt;&lt;/TR&gt;&lt;/TABLE&gt;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adaptace na změnu klimatu</vt:lpwstr>
  </property>
  <property fmtid="{D5CDD505-2E9C-101B-9397-08002B2CF9AE}" pid="16" name="DisplayName_UserPoriz_Pisemnost">
    <vt:lpwstr>Ing. Josef Fibír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ENV/2022/265146</vt:lpwstr>
  </property>
  <property fmtid="{D5CDD505-2E9C-101B-9397-08002B2CF9AE}" pid="19" name="Key_BarCode_Pisemnost">
    <vt:lpwstr>*B001371059*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ENV/2022/265146</vt:lpwstr>
  </property>
  <property fmtid="{D5CDD505-2E9C-101B-9397-08002B2CF9AE}" pid="33" name="RC">
    <vt:lpwstr/>
  </property>
  <property fmtid="{D5CDD505-2E9C-101B-9397-08002B2CF9AE}" pid="34" name="SkartacniZnakLhuta_PisemnostZnak">
    <vt:lpwstr>A/10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ZN/MZP/2022/610/299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Výzva č. 2/2022 NPO-POPFK</vt:lpwstr>
  </property>
  <property fmtid="{D5CDD505-2E9C-101B-9397-08002B2CF9AE}" pid="41" name="Zkratka_SpisovyUzel_PoziceZodpo_Pisemnost">
    <vt:lpwstr>610</vt:lpwstr>
  </property>
</Properties>
</file>