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11411" w14:textId="77777777" w:rsidR="00164E5B" w:rsidRDefault="00164E5B">
      <w:pPr>
        <w:pStyle w:val="Default"/>
        <w:spacing w:line="276" w:lineRule="auto"/>
        <w:jc w:val="both"/>
      </w:pPr>
    </w:p>
    <w:p w14:paraId="065B9A35" w14:textId="77777777" w:rsidR="00164E5B" w:rsidRDefault="00AD64EB">
      <w:pPr>
        <w:pStyle w:val="Default"/>
        <w:spacing w:after="240" w:line="276" w:lineRule="auto"/>
        <w:jc w:val="both"/>
        <w:rPr>
          <w:sz w:val="23"/>
          <w:szCs w:val="23"/>
        </w:rPr>
      </w:pPr>
      <w:r>
        <w:rPr>
          <w:b/>
          <w:bCs/>
          <w:sz w:val="23"/>
          <w:szCs w:val="23"/>
        </w:rPr>
        <w:t>Zápis z 3. jednání Tematické pracovní skupiny Sociálního klimatického fondu pro dopravu (TPS SKF D)</w:t>
      </w:r>
    </w:p>
    <w:tbl>
      <w:tblPr>
        <w:tblStyle w:val="Mkatabulky"/>
        <w:tblW w:w="935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59"/>
        <w:gridCol w:w="7795"/>
      </w:tblGrid>
      <w:tr w:rsidR="00164E5B" w14:paraId="2C3092E6" w14:textId="77777777">
        <w:trPr>
          <w:trHeight w:val="305"/>
        </w:trPr>
        <w:tc>
          <w:tcPr>
            <w:tcW w:w="1559" w:type="dxa"/>
          </w:tcPr>
          <w:p w14:paraId="0337A86B" w14:textId="77777777" w:rsidR="00164E5B" w:rsidRDefault="00AD64EB">
            <w:pPr>
              <w:jc w:val="both"/>
              <w:rPr>
                <w:rFonts w:ascii="Verdana" w:hAnsi="Verdana"/>
                <w:b/>
                <w:bCs/>
                <w:sz w:val="20"/>
                <w:szCs w:val="20"/>
              </w:rPr>
            </w:pPr>
            <w:r>
              <w:rPr>
                <w:rFonts w:ascii="Verdana" w:hAnsi="Verdana"/>
                <w:b/>
                <w:bCs/>
                <w:sz w:val="20"/>
                <w:szCs w:val="20"/>
              </w:rPr>
              <w:t>Datum zasedání:</w:t>
            </w:r>
          </w:p>
        </w:tc>
        <w:tc>
          <w:tcPr>
            <w:tcW w:w="7795" w:type="dxa"/>
          </w:tcPr>
          <w:p w14:paraId="0944B717" w14:textId="77777777" w:rsidR="00164E5B" w:rsidRDefault="00AD64EB">
            <w:pPr>
              <w:jc w:val="both"/>
              <w:rPr>
                <w:rFonts w:ascii="Verdana" w:hAnsi="Verdana"/>
                <w:sz w:val="20"/>
                <w:szCs w:val="20"/>
              </w:rPr>
            </w:pPr>
            <w:r>
              <w:rPr>
                <w:rFonts w:ascii="Verdana" w:hAnsi="Verdana"/>
                <w:sz w:val="20"/>
                <w:szCs w:val="20"/>
              </w:rPr>
              <w:t>15. května 2024</w:t>
            </w:r>
          </w:p>
        </w:tc>
      </w:tr>
      <w:tr w:rsidR="00164E5B" w14:paraId="078C0D45" w14:textId="77777777">
        <w:trPr>
          <w:trHeight w:val="283"/>
        </w:trPr>
        <w:tc>
          <w:tcPr>
            <w:tcW w:w="1559" w:type="dxa"/>
          </w:tcPr>
          <w:p w14:paraId="5E804C19" w14:textId="77777777" w:rsidR="00164E5B" w:rsidRDefault="00AD64EB">
            <w:pPr>
              <w:jc w:val="both"/>
              <w:rPr>
                <w:rFonts w:ascii="Verdana" w:hAnsi="Verdana"/>
                <w:b/>
                <w:bCs/>
                <w:sz w:val="20"/>
                <w:szCs w:val="20"/>
              </w:rPr>
            </w:pPr>
            <w:r>
              <w:rPr>
                <w:rFonts w:ascii="Verdana" w:hAnsi="Verdana"/>
                <w:b/>
                <w:bCs/>
                <w:sz w:val="20"/>
                <w:szCs w:val="20"/>
              </w:rPr>
              <w:t>Místo:</w:t>
            </w:r>
          </w:p>
        </w:tc>
        <w:tc>
          <w:tcPr>
            <w:tcW w:w="7795" w:type="dxa"/>
          </w:tcPr>
          <w:p w14:paraId="7AF441C5" w14:textId="77777777" w:rsidR="00164E5B" w:rsidRDefault="00AD64EB">
            <w:pPr>
              <w:jc w:val="both"/>
              <w:rPr>
                <w:rFonts w:ascii="Verdana" w:hAnsi="Verdana"/>
                <w:sz w:val="20"/>
                <w:szCs w:val="20"/>
              </w:rPr>
            </w:pPr>
            <w:r>
              <w:rPr>
                <w:rFonts w:ascii="Verdana" w:hAnsi="Verdana"/>
                <w:sz w:val="20"/>
                <w:szCs w:val="20"/>
              </w:rPr>
              <w:t>Ministerstvo životního prostředí</w:t>
            </w:r>
          </w:p>
        </w:tc>
      </w:tr>
      <w:tr w:rsidR="00164E5B" w14:paraId="54D8113B" w14:textId="77777777">
        <w:trPr>
          <w:trHeight w:val="451"/>
        </w:trPr>
        <w:tc>
          <w:tcPr>
            <w:tcW w:w="1559" w:type="dxa"/>
          </w:tcPr>
          <w:p w14:paraId="22E5B65B" w14:textId="77777777" w:rsidR="00164E5B" w:rsidRDefault="00AD64EB">
            <w:pPr>
              <w:jc w:val="both"/>
              <w:rPr>
                <w:rFonts w:ascii="Verdana" w:hAnsi="Verdana"/>
                <w:b/>
                <w:bCs/>
                <w:sz w:val="20"/>
                <w:szCs w:val="20"/>
              </w:rPr>
            </w:pPr>
            <w:r>
              <w:rPr>
                <w:rFonts w:ascii="Verdana" w:hAnsi="Verdana"/>
                <w:b/>
                <w:bCs/>
                <w:sz w:val="20"/>
                <w:szCs w:val="20"/>
              </w:rPr>
              <w:t>Přítomní účastníci:</w:t>
            </w:r>
          </w:p>
        </w:tc>
        <w:tc>
          <w:tcPr>
            <w:tcW w:w="7795" w:type="dxa"/>
          </w:tcPr>
          <w:p w14:paraId="619193ED" w14:textId="2B8265B4" w:rsidR="00164E5B" w:rsidRDefault="00AD64EB">
            <w:pPr>
              <w:jc w:val="both"/>
              <w:rPr>
                <w:rFonts w:ascii="Verdana" w:eastAsia="Verdana" w:hAnsi="Verdana" w:cs="Verdana"/>
                <w:sz w:val="18"/>
                <w:szCs w:val="20"/>
              </w:rPr>
            </w:pPr>
            <w:r>
              <w:rPr>
                <w:rFonts w:ascii="Verdana" w:eastAsia="Verdana" w:hAnsi="Verdana" w:cs="Verdana"/>
                <w:b/>
                <w:bCs/>
                <w:i/>
                <w:iCs/>
                <w:sz w:val="18"/>
                <w:szCs w:val="20"/>
                <w:u w:val="single"/>
              </w:rPr>
              <w:t xml:space="preserve">Fyzicky: </w:t>
            </w:r>
            <w:r>
              <w:rPr>
                <w:rFonts w:ascii="Verdana" w:eastAsia="Verdana" w:hAnsi="Verdana" w:cs="Verdana"/>
                <w:sz w:val="18"/>
                <w:szCs w:val="20"/>
              </w:rPr>
              <w:t xml:space="preserve">Jaroslav Kepka (MŽP), Maggie Š. </w:t>
            </w:r>
            <w:proofErr w:type="spellStart"/>
            <w:r>
              <w:rPr>
                <w:rFonts w:ascii="Verdana" w:eastAsia="Verdana" w:hAnsi="Verdana" w:cs="Verdana"/>
                <w:sz w:val="18"/>
                <w:szCs w:val="20"/>
              </w:rPr>
              <w:t>Dokupilová</w:t>
            </w:r>
            <w:proofErr w:type="spellEnd"/>
            <w:r>
              <w:rPr>
                <w:rFonts w:ascii="Verdana" w:eastAsia="Verdana" w:hAnsi="Verdana" w:cs="Verdana"/>
                <w:sz w:val="18"/>
                <w:szCs w:val="20"/>
              </w:rPr>
              <w:t xml:space="preserve"> (MŽP), Beáta Hanousková (MŽP), Kateřina Duspivová (STEM), Petr Vychodil (ČAOVD), Martin Večeřa (</w:t>
            </w:r>
            <w:r>
              <w:rPr>
                <w:rFonts w:ascii="Verdana" w:eastAsia="Verdana" w:hAnsi="Verdana" w:cs="Verdana"/>
                <w:color w:val="000000"/>
                <w:sz w:val="18"/>
                <w:szCs w:val="20"/>
              </w:rPr>
              <w:t>ČAOVD)</w:t>
            </w:r>
            <w:r>
              <w:rPr>
                <w:rFonts w:ascii="Verdana" w:eastAsia="Verdana" w:hAnsi="Verdana" w:cs="Verdana"/>
                <w:sz w:val="18"/>
                <w:szCs w:val="20"/>
              </w:rPr>
              <w:t xml:space="preserve">, Aleš Stejskal (ČAOVD) Marco </w:t>
            </w:r>
            <w:proofErr w:type="spellStart"/>
            <w:r>
              <w:rPr>
                <w:rFonts w:ascii="Verdana" w:eastAsia="Verdana" w:hAnsi="Verdana" w:cs="Verdana"/>
                <w:sz w:val="18"/>
                <w:szCs w:val="20"/>
              </w:rPr>
              <w:t>Boggian</w:t>
            </w:r>
            <w:proofErr w:type="spellEnd"/>
            <w:r>
              <w:rPr>
                <w:rFonts w:ascii="Verdana" w:eastAsia="Verdana" w:hAnsi="Verdana" w:cs="Verdana"/>
                <w:sz w:val="18"/>
                <w:szCs w:val="20"/>
              </w:rPr>
              <w:t xml:space="preserve"> (</w:t>
            </w:r>
            <w:proofErr w:type="spellStart"/>
            <w:r>
              <w:rPr>
                <w:rFonts w:ascii="Verdana" w:eastAsia="Verdana" w:hAnsi="Verdana" w:cs="Verdana"/>
                <w:sz w:val="18"/>
                <w:szCs w:val="20"/>
              </w:rPr>
              <w:t>AutoSAP</w:t>
            </w:r>
            <w:proofErr w:type="spellEnd"/>
            <w:r>
              <w:rPr>
                <w:rFonts w:ascii="Verdana" w:eastAsia="Verdana" w:hAnsi="Verdana" w:cs="Verdana"/>
                <w:sz w:val="18"/>
                <w:szCs w:val="20"/>
              </w:rPr>
              <w:t xml:space="preserve">), Vít </w:t>
            </w:r>
            <w:proofErr w:type="spellStart"/>
            <w:r>
              <w:rPr>
                <w:rFonts w:ascii="Verdana" w:eastAsia="Verdana" w:hAnsi="Verdana" w:cs="Verdana"/>
                <w:sz w:val="18"/>
                <w:szCs w:val="20"/>
              </w:rPr>
              <w:t>Sedmidubský</w:t>
            </w:r>
            <w:proofErr w:type="spellEnd"/>
            <w:r>
              <w:rPr>
                <w:rFonts w:ascii="Verdana" w:eastAsia="Verdana" w:hAnsi="Verdana" w:cs="Verdana"/>
                <w:sz w:val="18"/>
                <w:szCs w:val="20"/>
              </w:rPr>
              <w:t xml:space="preserve"> (MD), Ivo Hruban (MD), Janda Martin (MMR), Petr </w:t>
            </w:r>
            <w:proofErr w:type="spellStart"/>
            <w:r>
              <w:rPr>
                <w:rFonts w:ascii="Verdana" w:eastAsia="Verdana" w:hAnsi="Verdana" w:cs="Verdana"/>
                <w:sz w:val="18"/>
                <w:szCs w:val="20"/>
              </w:rPr>
              <w:t>Vízdal</w:t>
            </w:r>
            <w:proofErr w:type="spellEnd"/>
            <w:r>
              <w:rPr>
                <w:rFonts w:ascii="Verdana" w:eastAsia="Verdana" w:hAnsi="Verdana" w:cs="Verdana"/>
                <w:sz w:val="18"/>
                <w:szCs w:val="20"/>
              </w:rPr>
              <w:t xml:space="preserve"> (SDP ČR), Martin Chval (SDP ČR), Jan </w:t>
            </w:r>
            <w:proofErr w:type="spellStart"/>
            <w:r>
              <w:rPr>
                <w:rFonts w:ascii="Verdana" w:eastAsia="Verdana" w:hAnsi="Verdana" w:cs="Verdana"/>
                <w:sz w:val="18"/>
                <w:szCs w:val="20"/>
              </w:rPr>
              <w:t>Krajhanzl</w:t>
            </w:r>
            <w:proofErr w:type="spellEnd"/>
            <w:r>
              <w:rPr>
                <w:rFonts w:ascii="Verdana" w:eastAsia="Verdana" w:hAnsi="Verdana" w:cs="Verdana"/>
                <w:sz w:val="18"/>
                <w:szCs w:val="20"/>
              </w:rPr>
              <w:t xml:space="preserve"> (Institut 2050), Rebeka </w:t>
            </w:r>
            <w:proofErr w:type="spellStart"/>
            <w:r>
              <w:rPr>
                <w:rFonts w:ascii="Verdana" w:eastAsia="Verdana" w:hAnsi="Verdana" w:cs="Verdana"/>
                <w:sz w:val="18"/>
                <w:szCs w:val="20"/>
              </w:rPr>
              <w:t>Hengalová</w:t>
            </w:r>
            <w:proofErr w:type="spellEnd"/>
            <w:r>
              <w:rPr>
                <w:rFonts w:ascii="Verdana" w:eastAsia="Verdana" w:hAnsi="Verdana" w:cs="Verdana"/>
                <w:sz w:val="18"/>
                <w:szCs w:val="20"/>
              </w:rPr>
              <w:t xml:space="preserve"> (</w:t>
            </w:r>
            <w:proofErr w:type="spellStart"/>
            <w:r>
              <w:rPr>
                <w:rFonts w:ascii="Verdana" w:eastAsia="Verdana" w:hAnsi="Verdana" w:cs="Verdana"/>
                <w:sz w:val="18"/>
                <w:szCs w:val="20"/>
              </w:rPr>
              <w:t>Europeum</w:t>
            </w:r>
            <w:proofErr w:type="spellEnd"/>
            <w:r>
              <w:rPr>
                <w:rFonts w:ascii="Verdana" w:eastAsia="Verdana" w:hAnsi="Verdana" w:cs="Verdana"/>
                <w:sz w:val="18"/>
                <w:szCs w:val="20"/>
              </w:rPr>
              <w:t>), Jaroslav Martínek (Partnerství pro městskou mobilitu), Václav Jaroš (MV), Markéta Gregorová (ÚV ČR), Lukáš Hataš (</w:t>
            </w:r>
            <w:proofErr w:type="spellStart"/>
            <w:r>
              <w:rPr>
                <w:rFonts w:ascii="Verdana" w:eastAsia="Verdana" w:hAnsi="Verdana" w:cs="Verdana"/>
                <w:color w:val="000000"/>
                <w:sz w:val="18"/>
                <w:szCs w:val="20"/>
              </w:rPr>
              <w:t>Hi</w:t>
            </w:r>
            <w:proofErr w:type="spellEnd"/>
            <w:r>
              <w:rPr>
                <w:rFonts w:ascii="Verdana" w:eastAsia="Verdana" w:hAnsi="Verdana" w:cs="Verdana"/>
                <w:color w:val="000000"/>
                <w:sz w:val="18"/>
                <w:szCs w:val="20"/>
              </w:rPr>
              <w:t xml:space="preserve">-Tech klastr/ Asociace pro elektromobilitu), Jaroslav </w:t>
            </w:r>
            <w:proofErr w:type="spellStart"/>
            <w:r>
              <w:rPr>
                <w:rFonts w:ascii="Verdana" w:eastAsia="Verdana" w:hAnsi="Verdana" w:cs="Verdana"/>
                <w:color w:val="000000"/>
                <w:sz w:val="18"/>
                <w:szCs w:val="20"/>
              </w:rPr>
              <w:t>Krutílek</w:t>
            </w:r>
            <w:proofErr w:type="spellEnd"/>
            <w:r>
              <w:rPr>
                <w:rFonts w:ascii="Verdana" w:eastAsia="Verdana" w:hAnsi="Verdana" w:cs="Verdana"/>
                <w:color w:val="000000"/>
                <w:sz w:val="18"/>
                <w:szCs w:val="20"/>
              </w:rPr>
              <w:t xml:space="preserve"> (ČLFA), Vladimír Malý (AK ČR), Filip Pospíšil (MMR- ASZ), Daniel Sokol (MMR), Petr</w:t>
            </w:r>
            <w:r w:rsidR="001056B3">
              <w:rPr>
                <w:rFonts w:ascii="Verdana" w:eastAsia="Verdana" w:hAnsi="Verdana" w:cs="Verdana"/>
                <w:color w:val="000000"/>
                <w:sz w:val="18"/>
                <w:szCs w:val="20"/>
              </w:rPr>
              <w:t>a</w:t>
            </w:r>
            <w:r>
              <w:rPr>
                <w:rFonts w:ascii="Verdana" w:eastAsia="Verdana" w:hAnsi="Verdana" w:cs="Verdana"/>
                <w:color w:val="000000"/>
                <w:sz w:val="18"/>
                <w:szCs w:val="20"/>
              </w:rPr>
              <w:t xml:space="preserve"> Syrová (Pěšky městem, </w:t>
            </w:r>
            <w:proofErr w:type="spellStart"/>
            <w:r>
              <w:rPr>
                <w:rFonts w:ascii="Verdana" w:eastAsia="Verdana" w:hAnsi="Verdana" w:cs="Verdana"/>
                <w:color w:val="000000"/>
                <w:sz w:val="18"/>
                <w:szCs w:val="20"/>
              </w:rPr>
              <w:t>z.s</w:t>
            </w:r>
            <w:proofErr w:type="spellEnd"/>
            <w:r>
              <w:rPr>
                <w:rFonts w:ascii="Verdana" w:eastAsia="Verdana" w:hAnsi="Verdana" w:cs="Verdana"/>
                <w:color w:val="000000"/>
                <w:sz w:val="18"/>
                <w:szCs w:val="20"/>
              </w:rPr>
              <w:t>.), Martin Voříšek (MPO),</w:t>
            </w:r>
            <w:r>
              <w:rPr>
                <w:rFonts w:ascii="Verdana" w:eastAsia="Verdana" w:hAnsi="Verdana" w:cs="Verdana"/>
                <w:sz w:val="18"/>
                <w:szCs w:val="20"/>
              </w:rPr>
              <w:t xml:space="preserve"> Jan Tůma (MŽP)</w:t>
            </w:r>
            <w:r w:rsidR="009F1BD4">
              <w:rPr>
                <w:rFonts w:ascii="Verdana" w:eastAsia="Verdana" w:hAnsi="Verdana" w:cs="Verdana"/>
                <w:sz w:val="18"/>
                <w:szCs w:val="20"/>
              </w:rPr>
              <w:t xml:space="preserve"> Dominica </w:t>
            </w:r>
            <w:proofErr w:type="spellStart"/>
            <w:r w:rsidR="009F1BD4">
              <w:rPr>
                <w:rFonts w:ascii="Verdana" w:eastAsia="Verdana" w:hAnsi="Verdana" w:cs="Verdana"/>
                <w:sz w:val="18"/>
                <w:szCs w:val="20"/>
              </w:rPr>
              <w:t>Tchaou</w:t>
            </w:r>
            <w:proofErr w:type="spellEnd"/>
            <w:r w:rsidR="009F1BD4">
              <w:rPr>
                <w:rFonts w:ascii="Verdana" w:eastAsia="Verdana" w:hAnsi="Verdana" w:cs="Verdana"/>
                <w:sz w:val="18"/>
                <w:szCs w:val="20"/>
              </w:rPr>
              <w:t xml:space="preserve"> (MŽP), Jiří Hromádko (MŽP)</w:t>
            </w:r>
            <w:r w:rsidR="007B1287">
              <w:rPr>
                <w:rFonts w:ascii="Verdana" w:eastAsia="Verdana" w:hAnsi="Verdana" w:cs="Verdana"/>
                <w:sz w:val="18"/>
                <w:szCs w:val="20"/>
              </w:rPr>
              <w:t>, Jan Adamčík (MŽP).</w:t>
            </w:r>
          </w:p>
          <w:p w14:paraId="28E4E741" w14:textId="77777777" w:rsidR="00164E5B" w:rsidRDefault="00AD64EB">
            <w:pPr>
              <w:jc w:val="both"/>
              <w:rPr>
                <w:rFonts w:ascii="Verdana" w:eastAsia="Verdana" w:hAnsi="Verdana" w:cs="Verdana"/>
                <w:color w:val="000000"/>
                <w:sz w:val="18"/>
                <w:szCs w:val="20"/>
              </w:rPr>
            </w:pPr>
            <w:r>
              <w:rPr>
                <w:rFonts w:ascii="Verdana" w:eastAsia="Verdana" w:hAnsi="Verdana" w:cs="Verdana"/>
                <w:b/>
                <w:bCs/>
                <w:i/>
                <w:iCs/>
                <w:sz w:val="18"/>
                <w:szCs w:val="20"/>
                <w:u w:val="single"/>
              </w:rPr>
              <w:t>Online:</w:t>
            </w:r>
            <w:r>
              <w:rPr>
                <w:rFonts w:ascii="Verdana" w:eastAsia="Verdana" w:hAnsi="Verdana" w:cs="Verdana"/>
                <w:b/>
                <w:bCs/>
                <w:i/>
                <w:iCs/>
                <w:sz w:val="18"/>
                <w:szCs w:val="20"/>
              </w:rPr>
              <w:t xml:space="preserve"> </w:t>
            </w:r>
            <w:r>
              <w:rPr>
                <w:rFonts w:ascii="Verdana" w:eastAsia="Verdana" w:hAnsi="Verdana" w:cs="Verdana"/>
                <w:color w:val="000000"/>
                <w:sz w:val="18"/>
                <w:szCs w:val="20"/>
              </w:rPr>
              <w:t xml:space="preserve">Miroslav Marada (UK), Petr </w:t>
            </w:r>
            <w:proofErr w:type="spellStart"/>
            <w:r>
              <w:rPr>
                <w:rFonts w:ascii="Verdana" w:eastAsia="Verdana" w:hAnsi="Verdana" w:cs="Verdana"/>
                <w:color w:val="000000"/>
                <w:sz w:val="18"/>
                <w:szCs w:val="20"/>
              </w:rPr>
              <w:t>Bubela</w:t>
            </w:r>
            <w:proofErr w:type="spellEnd"/>
            <w:r>
              <w:rPr>
                <w:rFonts w:ascii="Verdana" w:eastAsia="Verdana" w:hAnsi="Verdana" w:cs="Verdana"/>
                <w:color w:val="000000"/>
                <w:sz w:val="18"/>
                <w:szCs w:val="20"/>
              </w:rPr>
              <w:t xml:space="preserve"> (MD), Martin Janda (MMR), </w:t>
            </w:r>
            <w:r>
              <w:rPr>
                <w:rFonts w:ascii="Verdana" w:eastAsia="Verdana" w:hAnsi="Verdana" w:cs="Verdana"/>
                <w:sz w:val="18"/>
                <w:szCs w:val="20"/>
              </w:rPr>
              <w:t xml:space="preserve">Tomáš </w:t>
            </w:r>
            <w:proofErr w:type="spellStart"/>
            <w:r>
              <w:rPr>
                <w:rFonts w:ascii="Verdana" w:eastAsia="Verdana" w:hAnsi="Verdana" w:cs="Verdana"/>
                <w:sz w:val="18"/>
                <w:szCs w:val="20"/>
              </w:rPr>
              <w:t>Hadviga</w:t>
            </w:r>
            <w:proofErr w:type="spellEnd"/>
            <w:r>
              <w:rPr>
                <w:rFonts w:ascii="Verdana" w:eastAsia="Verdana" w:hAnsi="Verdana" w:cs="Verdana"/>
                <w:sz w:val="18"/>
                <w:szCs w:val="20"/>
              </w:rPr>
              <w:t xml:space="preserve"> (SMO ČR), </w:t>
            </w:r>
            <w:r>
              <w:rPr>
                <w:rFonts w:ascii="Verdana" w:eastAsia="Verdana" w:hAnsi="Verdana" w:cs="Verdana"/>
                <w:color w:val="000000"/>
                <w:sz w:val="18"/>
                <w:szCs w:val="20"/>
              </w:rPr>
              <w:t xml:space="preserve">Jan Kobliha (MPO), Eva </w:t>
            </w:r>
            <w:proofErr w:type="spellStart"/>
            <w:r>
              <w:rPr>
                <w:rFonts w:ascii="Verdana" w:eastAsia="Verdana" w:hAnsi="Verdana" w:cs="Verdana"/>
                <w:color w:val="000000"/>
                <w:sz w:val="18"/>
                <w:szCs w:val="20"/>
              </w:rPr>
              <w:t>Kolešková</w:t>
            </w:r>
            <w:proofErr w:type="spellEnd"/>
            <w:r>
              <w:rPr>
                <w:rFonts w:ascii="Verdana" w:eastAsia="Verdana" w:hAnsi="Verdana" w:cs="Verdana"/>
                <w:color w:val="000000"/>
                <w:sz w:val="18"/>
                <w:szCs w:val="20"/>
              </w:rPr>
              <w:t xml:space="preserve"> (MŽP), Martin Chládek (MMR), Martin Novosád (SFŽP), Pavel Řezáč (CDV), Petr Beck (MPSV), Petr Dobrý (MMR), Karel Tichý (HSR-ÚK).</w:t>
            </w:r>
          </w:p>
          <w:p w14:paraId="708881A0" w14:textId="77777777" w:rsidR="00164E5B" w:rsidRDefault="00AD64EB">
            <w:pPr>
              <w:jc w:val="both"/>
              <w:rPr>
                <w:rFonts w:ascii="Verdana" w:eastAsia="Verdana" w:hAnsi="Verdana" w:cs="Verdana"/>
                <w:color w:val="000000"/>
                <w:sz w:val="18"/>
                <w:szCs w:val="18"/>
              </w:rPr>
            </w:pPr>
            <w:r>
              <w:rPr>
                <w:rFonts w:ascii="Verdana" w:eastAsia="Verdana" w:hAnsi="Verdana" w:cs="Verdana"/>
                <w:b/>
                <w:bCs/>
                <w:i/>
                <w:iCs/>
                <w:color w:val="000000"/>
                <w:sz w:val="18"/>
                <w:szCs w:val="20"/>
                <w:u w:val="single"/>
              </w:rPr>
              <w:t>Nepřítomni:</w:t>
            </w:r>
            <w:r>
              <w:rPr>
                <w:rFonts w:ascii="Verdana" w:eastAsia="Verdana" w:hAnsi="Verdana" w:cs="Verdana"/>
                <w:color w:val="000000"/>
                <w:sz w:val="18"/>
                <w:szCs w:val="20"/>
              </w:rPr>
              <w:t xml:space="preserve"> SMS ČR, NS MAS, SD ČR, Jiří Pohl (Siemens Mobility).</w:t>
            </w:r>
          </w:p>
          <w:p w14:paraId="3FE1CF3C" w14:textId="77777777" w:rsidR="00164E5B" w:rsidRDefault="00164E5B">
            <w:pPr>
              <w:jc w:val="both"/>
              <w:rPr>
                <w:rFonts w:ascii="Verdana" w:hAnsi="Verdana" w:cs="Verdana"/>
                <w:sz w:val="20"/>
                <w:szCs w:val="20"/>
              </w:rPr>
            </w:pPr>
          </w:p>
        </w:tc>
      </w:tr>
    </w:tbl>
    <w:p w14:paraId="0019D583" w14:textId="77777777" w:rsidR="00164E5B" w:rsidRDefault="00164E5B">
      <w:pPr>
        <w:spacing w:before="100" w:beforeAutospacing="1" w:after="100" w:afterAutospacing="1" w:line="240" w:lineRule="auto"/>
        <w:jc w:val="both"/>
        <w:rPr>
          <w:rFonts w:ascii="Verdana" w:eastAsia="Times New Roman" w:hAnsi="Verdana" w:cs="Calibri"/>
          <w:b/>
          <w:bCs/>
          <w:sz w:val="4"/>
          <w:lang w:eastAsia="cs-CZ"/>
        </w:rPr>
      </w:pPr>
    </w:p>
    <w:p w14:paraId="7A20A43B" w14:textId="77777777" w:rsidR="00164E5B" w:rsidRDefault="00AD64EB">
      <w:pPr>
        <w:spacing w:after="0" w:line="240" w:lineRule="auto"/>
        <w:jc w:val="both"/>
        <w:rPr>
          <w:rFonts w:ascii="Verdana" w:eastAsia="Times New Roman" w:hAnsi="Verdana" w:cs="Times New Roman"/>
          <w:lang w:eastAsia="cs-CZ"/>
        </w:rPr>
      </w:pPr>
      <w:r>
        <w:rPr>
          <w:rFonts w:ascii="Verdana" w:eastAsia="Times New Roman" w:hAnsi="Verdana" w:cs="Calibri"/>
          <w:b/>
          <w:bCs/>
          <w:lang w:eastAsia="cs-CZ"/>
        </w:rPr>
        <w:t>Program jednání:</w:t>
      </w:r>
    </w:p>
    <w:p w14:paraId="51495AA1" w14:textId="77777777" w:rsidR="00164E5B" w:rsidRDefault="00AD64EB">
      <w:pPr>
        <w:pStyle w:val="Odstavecseseznamem"/>
        <w:numPr>
          <w:ilvl w:val="0"/>
          <w:numId w:val="16"/>
        </w:num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Úvod, aktuality a kontrola úkolů</w:t>
      </w:r>
    </w:p>
    <w:p w14:paraId="0626A909" w14:textId="77777777" w:rsidR="00164E5B" w:rsidRDefault="00AD64EB">
      <w:pPr>
        <w:pStyle w:val="Odstavecseseznamem"/>
        <w:numPr>
          <w:ilvl w:val="0"/>
          <w:numId w:val="16"/>
        </w:num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Zaslaná opatření - diskuze nad implementací</w:t>
      </w:r>
    </w:p>
    <w:p w14:paraId="142F69E1" w14:textId="77777777" w:rsidR="00164E5B" w:rsidRDefault="00AD64EB">
      <w:pPr>
        <w:pStyle w:val="Odstavecseseznamem"/>
        <w:numPr>
          <w:ilvl w:val="0"/>
          <w:numId w:val="16"/>
        </w:num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 xml:space="preserve">Zahraniční praxe a návrhy opatření DG </w:t>
      </w:r>
      <w:proofErr w:type="spellStart"/>
      <w:r>
        <w:rPr>
          <w:rFonts w:ascii="Verdana" w:eastAsia="Times New Roman" w:hAnsi="Verdana" w:cs="Calibri"/>
          <w:sz w:val="20"/>
          <w:szCs w:val="20"/>
          <w:lang w:eastAsia="cs-CZ"/>
        </w:rPr>
        <w:t>Clima</w:t>
      </w:r>
      <w:proofErr w:type="spellEnd"/>
    </w:p>
    <w:p w14:paraId="79FDABA2" w14:textId="77777777" w:rsidR="00164E5B" w:rsidRDefault="00AD64EB">
      <w:pPr>
        <w:pStyle w:val="Odstavecseseznamem"/>
        <w:numPr>
          <w:ilvl w:val="0"/>
          <w:numId w:val="16"/>
        </w:num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 xml:space="preserve">EUROPEUM </w:t>
      </w:r>
      <w:r>
        <w:rPr>
          <w:rFonts w:ascii="Verdana" w:eastAsia="Times New Roman" w:hAnsi="Verdana" w:cs="Calibri"/>
          <w:i/>
          <w:sz w:val="20"/>
          <w:szCs w:val="20"/>
          <w:lang w:eastAsia="cs-CZ"/>
        </w:rPr>
        <w:t xml:space="preserve">Institute </w:t>
      </w:r>
      <w:proofErr w:type="spellStart"/>
      <w:r>
        <w:rPr>
          <w:rFonts w:ascii="Verdana" w:eastAsia="Times New Roman" w:hAnsi="Verdana" w:cs="Calibri"/>
          <w:i/>
          <w:sz w:val="20"/>
          <w:szCs w:val="20"/>
          <w:lang w:eastAsia="cs-CZ"/>
        </w:rPr>
        <w:t>for</w:t>
      </w:r>
      <w:proofErr w:type="spellEnd"/>
      <w:r>
        <w:rPr>
          <w:rFonts w:ascii="Verdana" w:eastAsia="Times New Roman" w:hAnsi="Verdana" w:cs="Calibri"/>
          <w:i/>
          <w:sz w:val="20"/>
          <w:szCs w:val="20"/>
          <w:lang w:eastAsia="cs-CZ"/>
        </w:rPr>
        <w:t xml:space="preserve"> </w:t>
      </w:r>
      <w:proofErr w:type="spellStart"/>
      <w:r>
        <w:rPr>
          <w:rFonts w:ascii="Verdana" w:eastAsia="Times New Roman" w:hAnsi="Verdana" w:cs="Calibri"/>
          <w:i/>
          <w:sz w:val="20"/>
          <w:szCs w:val="20"/>
          <w:lang w:eastAsia="cs-CZ"/>
        </w:rPr>
        <w:t>European</w:t>
      </w:r>
      <w:proofErr w:type="spellEnd"/>
      <w:r>
        <w:rPr>
          <w:rFonts w:ascii="Verdana" w:eastAsia="Times New Roman" w:hAnsi="Verdana" w:cs="Calibri"/>
          <w:i/>
          <w:sz w:val="20"/>
          <w:szCs w:val="20"/>
          <w:lang w:eastAsia="cs-CZ"/>
        </w:rPr>
        <w:t xml:space="preserve"> </w:t>
      </w:r>
      <w:proofErr w:type="spellStart"/>
      <w:r>
        <w:rPr>
          <w:rFonts w:ascii="Verdana" w:eastAsia="Times New Roman" w:hAnsi="Verdana" w:cs="Calibri"/>
          <w:i/>
          <w:sz w:val="20"/>
          <w:szCs w:val="20"/>
          <w:lang w:eastAsia="cs-CZ"/>
        </w:rPr>
        <w:t>Policy</w:t>
      </w:r>
      <w:proofErr w:type="spellEnd"/>
      <w:r>
        <w:rPr>
          <w:rFonts w:ascii="Verdana" w:eastAsia="Times New Roman" w:hAnsi="Verdana" w:cs="Calibri"/>
          <w:sz w:val="20"/>
          <w:szCs w:val="20"/>
          <w:lang w:eastAsia="cs-CZ"/>
        </w:rPr>
        <w:t>: Stanovisko neziskových organizací, zahraniční případové studie řešení dopravní chudoby</w:t>
      </w:r>
    </w:p>
    <w:p w14:paraId="13AE7052" w14:textId="77777777" w:rsidR="00164E5B" w:rsidRDefault="00AD64EB">
      <w:pPr>
        <w:pStyle w:val="Odstavecseseznamem"/>
        <w:numPr>
          <w:ilvl w:val="0"/>
          <w:numId w:val="16"/>
        </w:num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Závěr</w:t>
      </w:r>
    </w:p>
    <w:p w14:paraId="2617C70B" w14:textId="77777777" w:rsidR="00164E5B" w:rsidRDefault="00164E5B">
      <w:pPr>
        <w:pStyle w:val="Odstavecseseznamem"/>
        <w:spacing w:before="100" w:beforeAutospacing="1" w:after="100" w:afterAutospacing="1" w:line="240" w:lineRule="auto"/>
        <w:jc w:val="both"/>
        <w:rPr>
          <w:rFonts w:ascii="Verdana" w:eastAsia="Times New Roman" w:hAnsi="Verdana" w:cs="Calibri"/>
          <w:sz w:val="20"/>
          <w:szCs w:val="20"/>
          <w:lang w:eastAsia="cs-CZ"/>
        </w:rPr>
      </w:pPr>
    </w:p>
    <w:p w14:paraId="793BAEE2" w14:textId="77777777" w:rsidR="00164E5B" w:rsidRDefault="00164E5B">
      <w:pPr>
        <w:pStyle w:val="Odstavecseseznamem"/>
        <w:spacing w:before="100" w:beforeAutospacing="1" w:after="100" w:afterAutospacing="1" w:line="240" w:lineRule="auto"/>
        <w:jc w:val="both"/>
        <w:rPr>
          <w:rFonts w:ascii="Verdana" w:eastAsia="Times New Roman" w:hAnsi="Verdana" w:cs="Calibri"/>
          <w:sz w:val="20"/>
          <w:szCs w:val="20"/>
          <w:lang w:eastAsia="cs-CZ"/>
        </w:rPr>
      </w:pPr>
    </w:p>
    <w:p w14:paraId="01B115A8" w14:textId="77777777" w:rsidR="00164E5B" w:rsidRDefault="00AD64EB">
      <w:pPr>
        <w:pStyle w:val="Odstavecseseznamem"/>
        <w:numPr>
          <w:ilvl w:val="0"/>
          <w:numId w:val="18"/>
        </w:numPr>
        <w:jc w:val="both"/>
        <w:rPr>
          <w:rFonts w:ascii="Verdana" w:eastAsia="Times New Roman" w:hAnsi="Verdana" w:cs="Calibri"/>
          <w:b/>
          <w:bCs/>
          <w:sz w:val="20"/>
          <w:szCs w:val="20"/>
          <w:lang w:eastAsia="cs-CZ"/>
        </w:rPr>
      </w:pPr>
      <w:r>
        <w:rPr>
          <w:rFonts w:ascii="Verdana" w:eastAsia="Times New Roman" w:hAnsi="Verdana" w:cs="Calibri"/>
          <w:b/>
          <w:bCs/>
          <w:sz w:val="20"/>
          <w:szCs w:val="20"/>
          <w:lang w:eastAsia="cs-CZ"/>
        </w:rPr>
        <w:t>Úvod, aktuality a kontrola úkolů</w:t>
      </w:r>
    </w:p>
    <w:p w14:paraId="019883C2" w14:textId="77777777" w:rsidR="00164E5B" w:rsidRDefault="00AD64EB">
      <w:pPr>
        <w:spacing w:before="100" w:beforeAutospacing="1" w:after="100" w:afterAutospacing="1" w:line="240" w:lineRule="auto"/>
        <w:jc w:val="both"/>
        <w:rPr>
          <w:rFonts w:ascii="Verdana" w:hAnsi="Verdana"/>
          <w:sz w:val="20"/>
          <w:szCs w:val="20"/>
        </w:rPr>
      </w:pPr>
      <w:r>
        <w:rPr>
          <w:rFonts w:ascii="Verdana" w:hAnsi="Verdana"/>
          <w:sz w:val="20"/>
          <w:szCs w:val="20"/>
        </w:rPr>
        <w:t>Vedoucí pracovní skupiny J. Kepka (MŽP) přivítal členy TPS SKF D a představil nové členy a hosty TPS (ČLFA, HSR-ÚK, ÚV ČR). Dále nastínil program jednání a poděkoval za zaslané karty opatření.</w:t>
      </w:r>
    </w:p>
    <w:tbl>
      <w:tblPr>
        <w:tblpPr w:leftFromText="141" w:rightFromText="141" w:vertAnchor="page" w:horzAnchor="margin" w:tblpY="11474"/>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50"/>
      </w:tblGrid>
      <w:tr w:rsidR="00164E5B" w14:paraId="60FD2705" w14:textId="77777777">
        <w:trPr>
          <w:trHeight w:val="699"/>
        </w:trPr>
        <w:tc>
          <w:tcPr>
            <w:tcW w:w="9250" w:type="dxa"/>
          </w:tcPr>
          <w:p w14:paraId="53036605" w14:textId="77777777" w:rsidR="00164E5B" w:rsidRDefault="00AD64EB">
            <w:pPr>
              <w:spacing w:after="0" w:line="240" w:lineRule="auto"/>
              <w:jc w:val="both"/>
              <w:rPr>
                <w:rFonts w:ascii="Verdana" w:eastAsia="Times New Roman" w:hAnsi="Verdana" w:cs="Times New Roman"/>
                <w:sz w:val="18"/>
                <w:szCs w:val="20"/>
                <w:lang w:eastAsia="cs-CZ"/>
              </w:rPr>
            </w:pPr>
            <w:r>
              <w:rPr>
                <w:rFonts w:ascii="Verdana" w:eastAsia="Times New Roman" w:hAnsi="Verdana" w:cs="Calibri"/>
                <w:b/>
                <w:bCs/>
                <w:sz w:val="20"/>
                <w:lang w:eastAsia="cs-CZ"/>
              </w:rPr>
              <w:t>Úkoly:</w:t>
            </w:r>
          </w:p>
          <w:p w14:paraId="446DB5A9" w14:textId="77777777" w:rsidR="00164E5B" w:rsidRDefault="00AD64EB">
            <w:pPr>
              <w:pStyle w:val="Odstavecseseznamem"/>
              <w:numPr>
                <w:ilvl w:val="0"/>
                <w:numId w:val="10"/>
              </w:numPr>
              <w:spacing w:line="240" w:lineRule="auto"/>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Zpracovat karty opatření/investic, které bude možné financovat z SKF vč. vyčíslení nákladů, dopadů na snížení emisí CO</w:t>
            </w:r>
            <w:r>
              <w:rPr>
                <w:rFonts w:ascii="Verdana" w:eastAsia="Times New Roman" w:hAnsi="Verdana" w:cs="Times New Roman"/>
                <w:sz w:val="18"/>
                <w:szCs w:val="20"/>
                <w:vertAlign w:val="subscript"/>
                <w:lang w:eastAsia="cs-CZ"/>
              </w:rPr>
              <w:t>2</w:t>
            </w:r>
            <w:r>
              <w:rPr>
                <w:rFonts w:ascii="Verdana" w:eastAsia="Times New Roman" w:hAnsi="Verdana" w:cs="Times New Roman"/>
                <w:sz w:val="18"/>
                <w:szCs w:val="20"/>
                <w:lang w:eastAsia="cs-CZ"/>
              </w:rPr>
              <w:t xml:space="preserve"> a vazbu na zranitelné uživatele dopravy.</w:t>
            </w:r>
          </w:p>
          <w:p w14:paraId="3FDEF80D" w14:textId="77777777" w:rsidR="00164E5B" w:rsidRDefault="00AD64EB">
            <w:pPr>
              <w:pStyle w:val="Odstavecseseznamem"/>
              <w:spacing w:before="100" w:beforeAutospacing="1" w:line="240" w:lineRule="auto"/>
              <w:jc w:val="both"/>
              <w:rPr>
                <w:rFonts w:ascii="Verdana" w:eastAsia="Times New Roman" w:hAnsi="Verdana" w:cs="Times New Roman"/>
                <w:sz w:val="18"/>
                <w:szCs w:val="20"/>
                <w:lang w:eastAsia="cs-CZ"/>
              </w:rPr>
            </w:pPr>
            <w:r>
              <w:rPr>
                <w:rFonts w:ascii="Verdana" w:eastAsia="Times New Roman" w:hAnsi="Verdana" w:cs="Times New Roman"/>
                <w:b/>
                <w:bCs/>
                <w:sz w:val="18"/>
                <w:szCs w:val="20"/>
                <w:lang w:eastAsia="cs-CZ"/>
              </w:rPr>
              <w:t>Zpracovatel:</w:t>
            </w:r>
            <w:r>
              <w:rPr>
                <w:rFonts w:ascii="Verdana" w:eastAsia="Times New Roman" w:hAnsi="Verdana" w:cs="Times New Roman"/>
                <w:sz w:val="18"/>
                <w:szCs w:val="20"/>
                <w:lang w:eastAsia="cs-CZ"/>
              </w:rPr>
              <w:t xml:space="preserve"> Všichni </w:t>
            </w:r>
          </w:p>
          <w:p w14:paraId="67DED486" w14:textId="77777777" w:rsidR="00164E5B" w:rsidRDefault="00AD64EB">
            <w:pPr>
              <w:pStyle w:val="Odstavecseseznamem"/>
              <w:spacing w:before="100" w:beforeAutospacing="1" w:line="240" w:lineRule="auto"/>
              <w:jc w:val="both"/>
              <w:rPr>
                <w:rFonts w:ascii="Verdana" w:eastAsia="Times New Roman" w:hAnsi="Verdana" w:cs="Times New Roman"/>
                <w:sz w:val="18"/>
                <w:szCs w:val="20"/>
                <w:lang w:eastAsia="cs-CZ"/>
              </w:rPr>
            </w:pPr>
            <w:r>
              <w:rPr>
                <w:rFonts w:ascii="Verdana" w:eastAsia="Times New Roman" w:hAnsi="Verdana" w:cs="Times New Roman"/>
                <w:b/>
                <w:sz w:val="18"/>
                <w:szCs w:val="20"/>
                <w:lang w:eastAsia="cs-CZ"/>
              </w:rPr>
              <w:t>Termín:</w:t>
            </w:r>
            <w:r>
              <w:rPr>
                <w:rFonts w:ascii="Verdana" w:eastAsia="Times New Roman" w:hAnsi="Verdana" w:cs="Times New Roman"/>
                <w:sz w:val="18"/>
                <w:szCs w:val="20"/>
                <w:lang w:eastAsia="cs-CZ"/>
              </w:rPr>
              <w:t xml:space="preserve"> do 3. května</w:t>
            </w:r>
          </w:p>
          <w:p w14:paraId="6A8C15A8" w14:textId="77777777" w:rsidR="00164E5B" w:rsidRDefault="00AD64EB">
            <w:pPr>
              <w:pStyle w:val="Odstavecseseznamem"/>
              <w:spacing w:before="100" w:beforeAutospacing="1" w:line="240" w:lineRule="auto"/>
              <w:jc w:val="both"/>
              <w:rPr>
                <w:rFonts w:ascii="Verdana" w:eastAsia="Times New Roman" w:hAnsi="Verdana" w:cs="Times New Roman"/>
                <w:i/>
                <w:color w:val="767171" w:themeColor="background2" w:themeShade="80"/>
                <w:sz w:val="18"/>
                <w:szCs w:val="20"/>
                <w:lang w:eastAsia="cs-CZ"/>
              </w:rPr>
            </w:pPr>
            <w:r>
              <w:rPr>
                <w:rFonts w:ascii="Verdana" w:eastAsia="Times New Roman" w:hAnsi="Verdana" w:cs="Times New Roman"/>
                <w:b/>
                <w:sz w:val="18"/>
                <w:szCs w:val="20"/>
                <w:lang w:eastAsia="cs-CZ"/>
              </w:rPr>
              <w:t>Stav:</w:t>
            </w:r>
            <w:r>
              <w:rPr>
                <w:rFonts w:ascii="Verdana" w:eastAsia="Times New Roman" w:hAnsi="Verdana" w:cs="Times New Roman"/>
                <w:sz w:val="18"/>
                <w:szCs w:val="20"/>
                <w:lang w:eastAsia="cs-CZ"/>
              </w:rPr>
              <w:t xml:space="preserve"> obdrženo 22 karet opatření </w:t>
            </w:r>
            <w:r>
              <w:rPr>
                <w:rFonts w:ascii="Verdana" w:eastAsia="Times New Roman" w:hAnsi="Verdana" w:cs="Times New Roman"/>
                <w:i/>
                <w:color w:val="767171" w:themeColor="background2" w:themeShade="80"/>
                <w:sz w:val="18"/>
                <w:szCs w:val="20"/>
                <w:lang w:eastAsia="cs-CZ"/>
              </w:rPr>
              <w:t>(aktualizováno)</w:t>
            </w:r>
          </w:p>
          <w:p w14:paraId="1B27CD56" w14:textId="77777777" w:rsidR="00164E5B" w:rsidRDefault="00AD64EB">
            <w:pPr>
              <w:spacing w:before="100" w:beforeAutospacing="1" w:line="240" w:lineRule="auto"/>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Další úkoly nebyly avizovány, možnost posílat karty opatření je prodloužena.</w:t>
            </w:r>
            <w:r w:rsidR="009F1BD4">
              <w:rPr>
                <w:rFonts w:ascii="Verdana" w:eastAsia="Times New Roman" w:hAnsi="Verdana" w:cs="Times New Roman"/>
                <w:sz w:val="18"/>
                <w:szCs w:val="20"/>
                <w:lang w:eastAsia="cs-CZ"/>
              </w:rPr>
              <w:t xml:space="preserve"> Rovněž je otevřena možnost připomínkovat navržené karty.</w:t>
            </w:r>
          </w:p>
        </w:tc>
      </w:tr>
    </w:tbl>
    <w:p w14:paraId="6ACECF4B" w14:textId="77777777" w:rsidR="00164E5B" w:rsidRDefault="00164E5B">
      <w:pPr>
        <w:spacing w:before="100" w:beforeAutospacing="1" w:after="100" w:afterAutospacing="1" w:line="240" w:lineRule="auto"/>
        <w:jc w:val="both"/>
        <w:rPr>
          <w:rFonts w:ascii="Verdana" w:hAnsi="Verdana"/>
          <w:sz w:val="20"/>
          <w:szCs w:val="20"/>
        </w:rPr>
      </w:pPr>
    </w:p>
    <w:p w14:paraId="1AF36057" w14:textId="77777777" w:rsidR="00164E5B" w:rsidRDefault="00AD64EB">
      <w:pPr>
        <w:spacing w:before="100" w:beforeAutospacing="1" w:after="100" w:afterAutospacing="1" w:line="240" w:lineRule="auto"/>
        <w:jc w:val="both"/>
        <w:rPr>
          <w:rFonts w:ascii="Verdana" w:hAnsi="Verdana"/>
          <w:sz w:val="20"/>
          <w:szCs w:val="20"/>
        </w:rPr>
      </w:pPr>
      <w:r>
        <w:rPr>
          <w:rFonts w:ascii="Verdana" w:hAnsi="Verdana"/>
          <w:sz w:val="20"/>
          <w:szCs w:val="20"/>
        </w:rPr>
        <w:t>B. Hanousková (MŽP) referovala o proběhlých jednáních s experty k dopravě a na EU úrovni. Vysvětlila komplementární přístup k analýze dopravní chudoby STEM, a to vymezení dopravně chudých regionů = regionů, které jsou nedostatečně obslouženy veřejnou hromadnou dopravou, a jsou tedy ohroženy dopravní chudobou. Jedná se zejm. o mapový podklad pro SKP. Bližší informace by měly být prezentovány na dalším setkání TPS.</w:t>
      </w:r>
    </w:p>
    <w:p w14:paraId="05C3B942" w14:textId="77777777" w:rsidR="00164E5B" w:rsidRPr="001B5579" w:rsidRDefault="00AD64EB">
      <w:pPr>
        <w:spacing w:before="100" w:beforeAutospacing="1" w:after="100" w:afterAutospacing="1" w:line="240" w:lineRule="auto"/>
        <w:jc w:val="both"/>
        <w:rPr>
          <w:rFonts w:ascii="Verdana" w:eastAsia="Verdana" w:hAnsi="Verdana" w:cs="Verdana"/>
          <w:sz w:val="20"/>
          <w:szCs w:val="20"/>
        </w:rPr>
      </w:pPr>
      <w:r>
        <w:rPr>
          <w:rFonts w:ascii="Verdana" w:eastAsia="Verdana" w:hAnsi="Verdana" w:cs="Verdana"/>
          <w:b/>
          <w:bCs/>
          <w:sz w:val="20"/>
          <w:szCs w:val="20"/>
        </w:rPr>
        <w:lastRenderedPageBreak/>
        <w:t>Diskuze</w:t>
      </w:r>
      <w:r>
        <w:rPr>
          <w:rFonts w:ascii="Verdana" w:eastAsia="Verdana" w:hAnsi="Verdana" w:cs="Verdana"/>
          <w:sz w:val="20"/>
          <w:szCs w:val="20"/>
        </w:rPr>
        <w:t xml:space="preserve"> se v tomto bodě zabývala upřesněním dopravní chudoby. </w:t>
      </w:r>
      <w:proofErr w:type="spellStart"/>
      <w:r>
        <w:rPr>
          <w:rFonts w:ascii="Verdana" w:eastAsia="Verdana" w:hAnsi="Verdana" w:cs="Verdana"/>
          <w:sz w:val="20"/>
          <w:szCs w:val="20"/>
        </w:rPr>
        <w:t>AutoSAP</w:t>
      </w:r>
      <w:proofErr w:type="spellEnd"/>
      <w:r>
        <w:rPr>
          <w:rFonts w:ascii="Verdana" w:eastAsia="Verdana" w:hAnsi="Verdana" w:cs="Verdana"/>
          <w:sz w:val="20"/>
          <w:szCs w:val="20"/>
        </w:rPr>
        <w:t xml:space="preserve"> a Institut 2050 položili otázku, která se týkala upřesnění definice dopravní chudoby. B. Hanousková reagovala, že konsorcium SEEPIA nyní zpracovává indikátory deklarované v analýze STEM k dopravní chudobě v čase (2017-2022) – bude představeno na dalším TPS. Poněvadž zpracování datových podkladů pro dopravní chudobu trvá, není možné přejít k finálnímu vymezení dopravní chudoby. Rádi bychom se na to podívali ze všech perspektiv. Zástupce Institutu 2050 avizoval nabídku ke spolupráci a upozornil na budoucí šetření v oblasti dopravní chudoby, které bude pravděpodobně finalizováno v listopadu. Rád by uvedl hrubá data do vyšší míry detailu a ověřil využitelnost definic (stanovených v analýze STEM k dopravní chudobě). </w:t>
      </w:r>
      <w:r w:rsidR="001B5579" w:rsidRPr="001B5579">
        <w:rPr>
          <w:rFonts w:ascii="Verdana" w:eastAsia="Verdana" w:hAnsi="Verdana" w:cs="Verdana"/>
          <w:sz w:val="20"/>
          <w:szCs w:val="20"/>
        </w:rPr>
        <w:t>Zástupce MMR-ASZ poukázal na důležitost diskuze o analyticko-koncepčním uchopení sledování dopravní chudoby a na slabiny vybraných indikátorů. Jednoduché indikátory mohou zahrnout i osoby, které fakticky dopravně chudí nejsou, nebo</w:t>
      </w:r>
      <w:r w:rsidR="001B5579">
        <w:rPr>
          <w:rFonts w:ascii="Verdana" w:eastAsia="Verdana" w:hAnsi="Verdana" w:cs="Verdana"/>
          <w:sz w:val="20"/>
          <w:szCs w:val="20"/>
        </w:rPr>
        <w:t xml:space="preserve"> </w:t>
      </w:r>
      <w:r w:rsidR="001B5579" w:rsidRPr="001B5579">
        <w:rPr>
          <w:rFonts w:ascii="Verdana" w:eastAsia="Verdana" w:hAnsi="Verdana" w:cs="Verdana"/>
          <w:sz w:val="20"/>
          <w:szCs w:val="20"/>
        </w:rPr>
        <w:t>naopak nedokážou pokrýt všechny osoby (např. ZTP), jichž se dopravní chudoba může týkat. Vhodnější by proto bylo používat složené indikátory, které budou zachycovat více skupin či aspektů dopravní chudoby. Různá opatření mohou vyžadovat různé indikátory a</w:t>
      </w:r>
      <w:r w:rsidR="001B5579">
        <w:rPr>
          <w:rFonts w:ascii="Verdana" w:eastAsia="Verdana" w:hAnsi="Verdana" w:cs="Verdana"/>
          <w:sz w:val="20"/>
          <w:szCs w:val="20"/>
        </w:rPr>
        <w:t xml:space="preserve"> </w:t>
      </w:r>
      <w:r w:rsidR="001B5579" w:rsidRPr="001B5579">
        <w:rPr>
          <w:rFonts w:ascii="Verdana" w:eastAsia="Verdana" w:hAnsi="Verdana" w:cs="Verdana"/>
          <w:sz w:val="20"/>
          <w:szCs w:val="20"/>
        </w:rPr>
        <w:t>různá nastavení kvalifikačních kritérií pro různé typy podpory.</w:t>
      </w:r>
      <w:r>
        <w:rPr>
          <w:rFonts w:ascii="Verdana" w:eastAsia="Verdana" w:hAnsi="Verdana" w:cs="Verdana"/>
          <w:sz w:val="20"/>
          <w:szCs w:val="20"/>
        </w:rPr>
        <w:t xml:space="preserve"> J. Kepka upozornil na nutnost pragmatického přístupu, rovněž jsme v rovině řešení pouze dopadů ETS2.</w:t>
      </w:r>
    </w:p>
    <w:p w14:paraId="40A6CFAD" w14:textId="77777777" w:rsidR="00164E5B" w:rsidRDefault="00AD64EB">
      <w:pPr>
        <w:spacing w:before="100" w:beforeAutospacing="1" w:after="100" w:afterAutospacing="1" w:line="240" w:lineRule="auto"/>
        <w:jc w:val="both"/>
        <w:rPr>
          <w:rFonts w:ascii="Verdana" w:hAnsi="Verdana"/>
          <w:sz w:val="20"/>
          <w:szCs w:val="20"/>
        </w:rPr>
      </w:pPr>
      <w:r>
        <w:rPr>
          <w:rFonts w:ascii="Verdana" w:hAnsi="Verdana"/>
          <w:sz w:val="20"/>
          <w:szCs w:val="20"/>
        </w:rPr>
        <w:t xml:space="preserve">J. Tůma (MŽP, vedoucí oddělení obchodování s emisemi) stručně představil legislativní průběh k novelizaci zákona o emisním obchodování a zejm. tzv. EU ETS2 (viz prezentace). Dále zodpověděl dotazy týkající se budoucího využití výnosů z emisního obchodování v následujících letech vč. jejich správy. Část prostředků půjde do kapitoly MŽP, MPO a SFŽP. Vyřazování povolenek za sektor ETS2 nastane v r. 2027. Do konce r. 2024 připravíme dodavatelům paliv podklady (jak žádat o povolení, jak monitorovat emise z dodávaných paliv), 1. zpráva za dodaná paliva a emise musí být odevzdána do konce dubna 2025 za emise z roku 2024. Dodavatelé musí za všechna paliva dodaná v roce 2025 předložit ověřený výkaz do konce dubna 2026 a již od 1. ledna 2025 musí mít všichni povolení k dodávání paliv. Za emisní obsah paliv se od 1. ledna 2027 musí vyřazovat povolenky, které musí být vyřazeny do konce května 2028. Tato povinnost není v současné novele zákona uvedena, ale počítáme s ní později. Transpozice zákona se do pol. r. 2024 nestíhá, nicméně je zde alespoň zmínka o monitorování. Rovněž upozornil, že transpozice směrnice o EU ETS2 do českého legislativního prostředí je spojena se schválením SKF ze strany EK. </w:t>
      </w:r>
    </w:p>
    <w:p w14:paraId="5A79EA40" w14:textId="77777777" w:rsidR="00164E5B" w:rsidRDefault="00AD64EB">
      <w:pPr>
        <w:spacing w:before="100" w:beforeAutospacing="1" w:after="100" w:afterAutospacing="1" w:line="240" w:lineRule="auto"/>
        <w:jc w:val="both"/>
        <w:rPr>
          <w:rFonts w:ascii="Verdana" w:hAnsi="Verdana"/>
          <w:sz w:val="20"/>
          <w:szCs w:val="20"/>
        </w:rPr>
      </w:pPr>
      <w:r>
        <w:rPr>
          <w:rFonts w:ascii="Verdana" w:hAnsi="Verdana"/>
          <w:b/>
          <w:sz w:val="20"/>
          <w:szCs w:val="20"/>
        </w:rPr>
        <w:t>Diskuze</w:t>
      </w:r>
      <w:r>
        <w:rPr>
          <w:rFonts w:ascii="Verdana" w:hAnsi="Verdana"/>
          <w:sz w:val="20"/>
          <w:szCs w:val="20"/>
        </w:rPr>
        <w:t xml:space="preserve"> se dále vedla ohledně předcházení dopadů EU ETS2 na domácnosti a ekonomiku, kde pomohou i další fondy mimo SKF – Modernizační fond, Nová zelená úsporám, NPO, další výnosy z aukcí emisního obchodování, které od r. 2026 SFŽP může využít na daná opatření. </w:t>
      </w:r>
    </w:p>
    <w:p w14:paraId="121C8141" w14:textId="77777777" w:rsidR="00164E5B" w:rsidRDefault="00AD64EB">
      <w:pPr>
        <w:pStyle w:val="Odstavecseseznamem"/>
        <w:numPr>
          <w:ilvl w:val="0"/>
          <w:numId w:val="18"/>
        </w:numPr>
        <w:jc w:val="both"/>
        <w:rPr>
          <w:rFonts w:ascii="Verdana" w:eastAsia="Times New Roman" w:hAnsi="Verdana" w:cs="Calibri"/>
          <w:b/>
          <w:bCs/>
          <w:sz w:val="20"/>
          <w:lang w:eastAsia="cs-CZ"/>
        </w:rPr>
      </w:pPr>
      <w:r>
        <w:rPr>
          <w:rFonts w:ascii="Verdana" w:eastAsia="Times New Roman" w:hAnsi="Verdana" w:cs="Calibri"/>
          <w:b/>
          <w:bCs/>
          <w:sz w:val="20"/>
          <w:lang w:eastAsia="cs-CZ"/>
        </w:rPr>
        <w:t>Zaslaná opatření - diskuze nad implementací</w:t>
      </w:r>
    </w:p>
    <w:p w14:paraId="6A975295" w14:textId="77777777" w:rsidR="00164E5B" w:rsidRDefault="00AD64EB">
      <w:pPr>
        <w:spacing w:after="0"/>
        <w:jc w:val="both"/>
        <w:rPr>
          <w:rFonts w:ascii="Verdana" w:hAnsi="Verdana"/>
          <w:sz w:val="20"/>
          <w:szCs w:val="20"/>
        </w:rPr>
      </w:pPr>
      <w:r>
        <w:rPr>
          <w:rFonts w:ascii="Verdana" w:hAnsi="Verdana"/>
          <w:sz w:val="20"/>
          <w:szCs w:val="20"/>
        </w:rPr>
        <w:t xml:space="preserve">J. Kepka poděkoval za všech 19 zaslaných a precizně vyplněných karet opatření. Následovala prezentace jednotlivých organizací k vybraným opatřením v pořadí: Ministerstvo dopravy, Ministerstvo pro místní rozvoj, </w:t>
      </w:r>
      <w:proofErr w:type="spellStart"/>
      <w:r>
        <w:rPr>
          <w:rFonts w:ascii="Verdana" w:hAnsi="Verdana"/>
          <w:sz w:val="20"/>
          <w:szCs w:val="20"/>
        </w:rPr>
        <w:t>ePlatformy</w:t>
      </w:r>
      <w:proofErr w:type="spellEnd"/>
      <w:r>
        <w:rPr>
          <w:rFonts w:ascii="Verdana" w:hAnsi="Verdana"/>
          <w:sz w:val="20"/>
          <w:szCs w:val="20"/>
        </w:rPr>
        <w:t xml:space="preserve"> a České leasingové a finanční asociace, Sdružení dopravních podniků, Česká asociace organizátorů veřejné dopravy (viz ppt a materiál </w:t>
      </w:r>
      <w:r>
        <w:rPr>
          <w:rFonts w:ascii="Verdana" w:hAnsi="Verdana"/>
          <w:i/>
          <w:sz w:val="20"/>
          <w:szCs w:val="20"/>
        </w:rPr>
        <w:t>„Indikativní seznam karet opatření pro SKF – doprava, verze 05/2024“)</w:t>
      </w:r>
    </w:p>
    <w:p w14:paraId="4A481244" w14:textId="77777777" w:rsidR="00164E5B" w:rsidRDefault="00164E5B">
      <w:pPr>
        <w:spacing w:after="0"/>
        <w:jc w:val="both"/>
        <w:rPr>
          <w:rFonts w:ascii="Verdana" w:hAnsi="Verdana"/>
          <w:sz w:val="20"/>
          <w:szCs w:val="20"/>
        </w:rPr>
      </w:pPr>
    </w:p>
    <w:p w14:paraId="49F1A95F" w14:textId="77777777" w:rsidR="00164E5B" w:rsidRPr="009F1BD4" w:rsidRDefault="00AD64EB">
      <w:pPr>
        <w:spacing w:after="0"/>
        <w:jc w:val="both"/>
        <w:rPr>
          <w:rFonts w:ascii="Segoe UI" w:hAnsi="Segoe UI" w:cs="Segoe UI"/>
        </w:rPr>
      </w:pPr>
      <w:r>
        <w:rPr>
          <w:rFonts w:ascii="Verdana" w:hAnsi="Verdana"/>
          <w:b/>
          <w:sz w:val="20"/>
          <w:szCs w:val="20"/>
        </w:rPr>
        <w:t xml:space="preserve">Diskuze </w:t>
      </w:r>
      <w:r>
        <w:rPr>
          <w:rFonts w:ascii="Verdana" w:hAnsi="Verdana"/>
          <w:sz w:val="20"/>
          <w:szCs w:val="20"/>
        </w:rPr>
        <w:t>se pohybovala zejm. v </w:t>
      </w:r>
      <w:proofErr w:type="spellStart"/>
      <w:r>
        <w:rPr>
          <w:rFonts w:ascii="Verdana" w:hAnsi="Verdana"/>
          <w:sz w:val="20"/>
          <w:szCs w:val="20"/>
        </w:rPr>
        <w:t>obl</w:t>
      </w:r>
      <w:proofErr w:type="spellEnd"/>
      <w:r>
        <w:rPr>
          <w:rFonts w:ascii="Verdana" w:hAnsi="Verdana"/>
          <w:sz w:val="20"/>
          <w:szCs w:val="20"/>
        </w:rPr>
        <w:t>. potřeby upřesnění dopravní chudoby</w:t>
      </w:r>
      <w:r w:rsidR="009F1BD4">
        <w:rPr>
          <w:rFonts w:ascii="Verdana" w:hAnsi="Verdana"/>
          <w:sz w:val="20"/>
          <w:szCs w:val="20"/>
        </w:rPr>
        <w:t>. Byla vznesena obava, že</w:t>
      </w:r>
      <w:r>
        <w:rPr>
          <w:rFonts w:ascii="Verdana" w:hAnsi="Verdana"/>
          <w:sz w:val="20"/>
          <w:szCs w:val="20"/>
        </w:rPr>
        <w:t xml:space="preserve"> </w:t>
      </w:r>
      <w:r w:rsidR="009F1BD4">
        <w:rPr>
          <w:rFonts w:ascii="Verdana" w:hAnsi="Verdana"/>
          <w:sz w:val="20"/>
          <w:szCs w:val="20"/>
        </w:rPr>
        <w:t xml:space="preserve">např. rozvoj </w:t>
      </w:r>
      <w:proofErr w:type="spellStart"/>
      <w:r w:rsidR="009F1BD4">
        <w:rPr>
          <w:rFonts w:ascii="Verdana" w:hAnsi="Verdana"/>
          <w:sz w:val="20"/>
          <w:szCs w:val="20"/>
        </w:rPr>
        <w:t>cyklodopravy</w:t>
      </w:r>
      <w:proofErr w:type="spellEnd"/>
      <w:r w:rsidR="009F1BD4">
        <w:rPr>
          <w:rFonts w:ascii="Verdana" w:hAnsi="Verdana"/>
          <w:sz w:val="20"/>
          <w:szCs w:val="20"/>
        </w:rPr>
        <w:t xml:space="preserve"> nepomůže mladým rodinám s</w:t>
      </w:r>
      <w:r w:rsidR="00990113">
        <w:rPr>
          <w:rFonts w:ascii="Verdana" w:hAnsi="Verdana"/>
          <w:sz w:val="20"/>
          <w:szCs w:val="20"/>
        </w:rPr>
        <w:t> </w:t>
      </w:r>
      <w:r w:rsidR="009F1BD4">
        <w:rPr>
          <w:rFonts w:ascii="Verdana" w:hAnsi="Verdana"/>
          <w:sz w:val="20"/>
          <w:szCs w:val="20"/>
        </w:rPr>
        <w:t>dětmi</w:t>
      </w:r>
      <w:r w:rsidR="00990113">
        <w:rPr>
          <w:rFonts w:ascii="Verdana" w:hAnsi="Verdana"/>
          <w:sz w:val="20"/>
          <w:szCs w:val="20"/>
        </w:rPr>
        <w:t xml:space="preserve"> a </w:t>
      </w:r>
      <w:r w:rsidR="009F1BD4">
        <w:rPr>
          <w:rFonts w:ascii="Verdana" w:hAnsi="Verdana"/>
          <w:sz w:val="20"/>
          <w:szCs w:val="20"/>
        </w:rPr>
        <w:t>dále</w:t>
      </w:r>
      <w:r w:rsidR="00990113">
        <w:rPr>
          <w:rFonts w:ascii="Verdana" w:hAnsi="Verdana"/>
          <w:sz w:val="20"/>
          <w:szCs w:val="20"/>
        </w:rPr>
        <w:t xml:space="preserve"> </w:t>
      </w:r>
      <w:r w:rsidR="00A94A90">
        <w:rPr>
          <w:rFonts w:ascii="Verdana" w:hAnsi="Verdana"/>
          <w:sz w:val="20"/>
          <w:szCs w:val="20"/>
        </w:rPr>
        <w:t xml:space="preserve">obava </w:t>
      </w:r>
      <w:r w:rsidR="00990113">
        <w:rPr>
          <w:rFonts w:ascii="Verdana" w:hAnsi="Verdana"/>
          <w:sz w:val="20"/>
          <w:szCs w:val="20"/>
        </w:rPr>
        <w:t xml:space="preserve">z </w:t>
      </w:r>
      <w:r>
        <w:rPr>
          <w:rFonts w:ascii="Verdana" w:hAnsi="Verdana"/>
          <w:sz w:val="20"/>
          <w:szCs w:val="20"/>
        </w:rPr>
        <w:t xml:space="preserve">plošných opatření, která necílí na zranitelné skupiny v případě kompenzace zvýšených cen </w:t>
      </w:r>
      <w:r w:rsidR="00990113">
        <w:rPr>
          <w:rFonts w:ascii="Verdana" w:hAnsi="Verdana"/>
          <w:sz w:val="20"/>
          <w:szCs w:val="20"/>
        </w:rPr>
        <w:t xml:space="preserve">za </w:t>
      </w:r>
      <w:r>
        <w:rPr>
          <w:rFonts w:ascii="Verdana" w:hAnsi="Verdana"/>
          <w:sz w:val="20"/>
          <w:szCs w:val="20"/>
        </w:rPr>
        <w:t>doprav</w:t>
      </w:r>
      <w:r w:rsidR="00990113">
        <w:rPr>
          <w:rFonts w:ascii="Verdana" w:hAnsi="Verdana"/>
          <w:sz w:val="20"/>
          <w:szCs w:val="20"/>
        </w:rPr>
        <w:t>u</w:t>
      </w:r>
      <w:r>
        <w:rPr>
          <w:rFonts w:ascii="Verdana" w:hAnsi="Verdana"/>
          <w:sz w:val="20"/>
          <w:szCs w:val="20"/>
        </w:rPr>
        <w:t xml:space="preserve"> </w:t>
      </w:r>
      <w:proofErr w:type="gramStart"/>
      <w:r w:rsidR="00990113">
        <w:rPr>
          <w:rFonts w:ascii="Verdana" w:hAnsi="Verdana"/>
          <w:sz w:val="20"/>
          <w:szCs w:val="20"/>
        </w:rPr>
        <w:t>způsobených</w:t>
      </w:r>
      <w:r w:rsidR="009F1BD4">
        <w:rPr>
          <w:rFonts w:ascii="Verdana" w:hAnsi="Verdana"/>
          <w:sz w:val="20"/>
          <w:szCs w:val="20"/>
        </w:rPr>
        <w:t xml:space="preserve"> zavedení</w:t>
      </w:r>
      <w:r w:rsidR="00990113">
        <w:rPr>
          <w:rFonts w:ascii="Verdana" w:hAnsi="Verdana"/>
          <w:sz w:val="20"/>
          <w:szCs w:val="20"/>
        </w:rPr>
        <w:t>m</w:t>
      </w:r>
      <w:proofErr w:type="gramEnd"/>
      <w:r>
        <w:rPr>
          <w:rFonts w:ascii="Verdana" w:hAnsi="Verdana"/>
          <w:sz w:val="20"/>
          <w:szCs w:val="20"/>
        </w:rPr>
        <w:t xml:space="preserve"> EU ETS2</w:t>
      </w:r>
      <w:r w:rsidR="00990113">
        <w:rPr>
          <w:rFonts w:ascii="Verdana" w:hAnsi="Verdana"/>
          <w:sz w:val="20"/>
          <w:szCs w:val="20"/>
        </w:rPr>
        <w:t xml:space="preserve">. </w:t>
      </w:r>
      <w:r>
        <w:rPr>
          <w:rFonts w:ascii="Verdana" w:hAnsi="Verdana"/>
          <w:sz w:val="20"/>
          <w:szCs w:val="20"/>
        </w:rPr>
        <w:t xml:space="preserve">Tyto zvýšené ceny mohou být kompenzovány např. z dalších výnosů. </w:t>
      </w:r>
      <w:r w:rsidR="00990113">
        <w:rPr>
          <w:rFonts w:ascii="Verdana" w:hAnsi="Verdana"/>
          <w:sz w:val="20"/>
          <w:szCs w:val="20"/>
        </w:rPr>
        <w:t xml:space="preserve">Důležité je rovněž zachovat stávající dopravní služby. </w:t>
      </w:r>
      <w:r>
        <w:rPr>
          <w:rFonts w:ascii="Verdana" w:hAnsi="Verdana"/>
          <w:sz w:val="20"/>
          <w:szCs w:val="20"/>
        </w:rPr>
        <w:t xml:space="preserve">Dále rezonovala diskuze ohledně elektrifikace dopravy, která se věnovala cenám elektrické energie, které momentálně nepřináší úspory pro dopravce, rovněž je problematická výměna baterií autobusů, jejich dojezd, parkování v depu aj. Zástupce SMO ČR upozornil, že je dobré ponechat objednání služeb dopravy na samosprávách, rovněž dopady zdražení dopravy budou mnohem širší - multiplikační (promítne se do dalších cen, např. cen potravin apod.), </w:t>
      </w:r>
      <w:r>
        <w:rPr>
          <w:rFonts w:ascii="Verdana" w:hAnsi="Verdana"/>
          <w:sz w:val="20"/>
          <w:szCs w:val="20"/>
        </w:rPr>
        <w:lastRenderedPageBreak/>
        <w:t xml:space="preserve">tudíž dopravně chudých bude mnohem více a je nutné na to myslet v případě určení definice. </w:t>
      </w:r>
      <w:r w:rsidR="007B1287">
        <w:rPr>
          <w:rFonts w:ascii="Verdana" w:hAnsi="Verdana"/>
          <w:sz w:val="20"/>
          <w:szCs w:val="20"/>
        </w:rPr>
        <w:t>MMR avizovalo spolupráci na vymezení „dopravně chudých regionů“ v ČR.</w:t>
      </w:r>
    </w:p>
    <w:p w14:paraId="56FB8637" w14:textId="77777777" w:rsidR="00164E5B" w:rsidRDefault="00164E5B">
      <w:pPr>
        <w:spacing w:after="0"/>
        <w:jc w:val="both"/>
        <w:rPr>
          <w:rFonts w:ascii="Verdana" w:hAnsi="Verdana"/>
          <w:sz w:val="20"/>
          <w:szCs w:val="20"/>
        </w:rPr>
      </w:pPr>
    </w:p>
    <w:p w14:paraId="0A58CA9E" w14:textId="77777777" w:rsidR="00164E5B" w:rsidRDefault="00AD64EB">
      <w:pPr>
        <w:pStyle w:val="Odstavecseseznamem"/>
        <w:numPr>
          <w:ilvl w:val="0"/>
          <w:numId w:val="18"/>
        </w:numPr>
        <w:spacing w:before="100" w:beforeAutospacing="1" w:after="100" w:afterAutospacing="1" w:line="240" w:lineRule="auto"/>
        <w:jc w:val="both"/>
        <w:rPr>
          <w:rFonts w:ascii="Verdana" w:eastAsia="Times New Roman" w:hAnsi="Verdana" w:cs="Calibri"/>
          <w:b/>
          <w:sz w:val="20"/>
          <w:szCs w:val="20"/>
          <w:lang w:eastAsia="cs-CZ"/>
        </w:rPr>
      </w:pPr>
      <w:r>
        <w:rPr>
          <w:rFonts w:ascii="Verdana" w:eastAsia="Times New Roman" w:hAnsi="Verdana" w:cs="Calibri"/>
          <w:b/>
          <w:sz w:val="20"/>
          <w:szCs w:val="20"/>
          <w:lang w:eastAsia="cs-CZ"/>
        </w:rPr>
        <w:t xml:space="preserve">Zahraniční praxe a návrhy opatření DG </w:t>
      </w:r>
      <w:proofErr w:type="spellStart"/>
      <w:r>
        <w:rPr>
          <w:rFonts w:ascii="Verdana" w:eastAsia="Times New Roman" w:hAnsi="Verdana" w:cs="Calibri"/>
          <w:b/>
          <w:sz w:val="20"/>
          <w:szCs w:val="20"/>
          <w:lang w:eastAsia="cs-CZ"/>
        </w:rPr>
        <w:t>Clima</w:t>
      </w:r>
      <w:proofErr w:type="spellEnd"/>
    </w:p>
    <w:p w14:paraId="0B61D2B0" w14:textId="77777777" w:rsidR="00164E5B" w:rsidRDefault="00AD64EB">
      <w:pPr>
        <w:spacing w:before="100" w:beforeAutospacing="1" w:after="100" w:afterAutospacing="1" w:line="240" w:lineRule="auto"/>
        <w:jc w:val="both"/>
        <w:rPr>
          <w:rFonts w:ascii="Verdana" w:eastAsia="Times New Roman" w:hAnsi="Verdana" w:cs="Calibri"/>
          <w:sz w:val="20"/>
          <w:szCs w:val="20"/>
          <w:lang w:eastAsia="cs-CZ"/>
        </w:rPr>
      </w:pPr>
      <w:r>
        <w:rPr>
          <w:rFonts w:ascii="Verdana" w:eastAsia="Times New Roman" w:hAnsi="Verdana" w:cs="Calibri"/>
          <w:sz w:val="20"/>
          <w:szCs w:val="20"/>
          <w:lang w:eastAsia="cs-CZ"/>
        </w:rPr>
        <w:t xml:space="preserve">Tento bod byl přeskočen z důvodu cíleného dodržení časové dotace na jednání. J. Kepka požádal přítomné, aby si prezentaci následně prošli a podívali se na všechna zahraniční doporučení, která nám poskytlo DG </w:t>
      </w:r>
      <w:proofErr w:type="spellStart"/>
      <w:r>
        <w:rPr>
          <w:rFonts w:ascii="Verdana" w:eastAsia="Times New Roman" w:hAnsi="Verdana" w:cs="Calibri"/>
          <w:sz w:val="20"/>
          <w:szCs w:val="20"/>
          <w:lang w:eastAsia="cs-CZ"/>
        </w:rPr>
        <w:t>Clima</w:t>
      </w:r>
      <w:proofErr w:type="spellEnd"/>
      <w:r>
        <w:rPr>
          <w:rFonts w:ascii="Verdana" w:eastAsia="Times New Roman" w:hAnsi="Verdana" w:cs="Calibri"/>
          <w:sz w:val="20"/>
          <w:szCs w:val="20"/>
          <w:lang w:eastAsia="cs-CZ"/>
        </w:rPr>
        <w:t>. Prezentace bude zveřejněna na webu MŽP a další podklady budou přístupné na cloudovém uložišti.</w:t>
      </w:r>
    </w:p>
    <w:p w14:paraId="42DC61C2" w14:textId="77777777" w:rsidR="00164E5B" w:rsidRDefault="00AD64EB">
      <w:pPr>
        <w:pStyle w:val="Odstavecseseznamem"/>
        <w:numPr>
          <w:ilvl w:val="0"/>
          <w:numId w:val="18"/>
        </w:numPr>
        <w:spacing w:before="100" w:beforeAutospacing="1" w:after="100" w:afterAutospacing="1" w:line="240" w:lineRule="auto"/>
        <w:jc w:val="both"/>
        <w:rPr>
          <w:rFonts w:ascii="Verdana" w:eastAsia="Times New Roman" w:hAnsi="Verdana" w:cs="Calibri"/>
          <w:b/>
          <w:sz w:val="20"/>
          <w:szCs w:val="20"/>
          <w:lang w:eastAsia="cs-CZ"/>
        </w:rPr>
      </w:pPr>
      <w:r>
        <w:rPr>
          <w:rFonts w:ascii="Verdana" w:eastAsia="Times New Roman" w:hAnsi="Verdana" w:cs="Calibri"/>
          <w:b/>
          <w:sz w:val="20"/>
          <w:szCs w:val="20"/>
          <w:lang w:eastAsia="cs-CZ"/>
        </w:rPr>
        <w:t xml:space="preserve">EUROPEUM </w:t>
      </w:r>
      <w:r>
        <w:rPr>
          <w:rFonts w:ascii="Verdana" w:eastAsia="Times New Roman" w:hAnsi="Verdana" w:cs="Calibri"/>
          <w:b/>
          <w:i/>
          <w:sz w:val="20"/>
          <w:szCs w:val="20"/>
          <w:lang w:eastAsia="cs-CZ"/>
        </w:rPr>
        <w:t xml:space="preserve">Institute </w:t>
      </w:r>
      <w:proofErr w:type="spellStart"/>
      <w:r>
        <w:rPr>
          <w:rFonts w:ascii="Verdana" w:eastAsia="Times New Roman" w:hAnsi="Verdana" w:cs="Calibri"/>
          <w:b/>
          <w:i/>
          <w:sz w:val="20"/>
          <w:szCs w:val="20"/>
          <w:lang w:eastAsia="cs-CZ"/>
        </w:rPr>
        <w:t>for</w:t>
      </w:r>
      <w:proofErr w:type="spellEnd"/>
      <w:r>
        <w:rPr>
          <w:rFonts w:ascii="Verdana" w:eastAsia="Times New Roman" w:hAnsi="Verdana" w:cs="Calibri"/>
          <w:b/>
          <w:i/>
          <w:sz w:val="20"/>
          <w:szCs w:val="20"/>
          <w:lang w:eastAsia="cs-CZ"/>
        </w:rPr>
        <w:t xml:space="preserve"> </w:t>
      </w:r>
      <w:proofErr w:type="spellStart"/>
      <w:r>
        <w:rPr>
          <w:rFonts w:ascii="Verdana" w:eastAsia="Times New Roman" w:hAnsi="Verdana" w:cs="Calibri"/>
          <w:b/>
          <w:i/>
          <w:sz w:val="20"/>
          <w:szCs w:val="20"/>
          <w:lang w:eastAsia="cs-CZ"/>
        </w:rPr>
        <w:t>European</w:t>
      </w:r>
      <w:proofErr w:type="spellEnd"/>
      <w:r>
        <w:rPr>
          <w:rFonts w:ascii="Verdana" w:eastAsia="Times New Roman" w:hAnsi="Verdana" w:cs="Calibri"/>
          <w:b/>
          <w:i/>
          <w:sz w:val="20"/>
          <w:szCs w:val="20"/>
          <w:lang w:eastAsia="cs-CZ"/>
        </w:rPr>
        <w:t xml:space="preserve"> </w:t>
      </w:r>
      <w:proofErr w:type="spellStart"/>
      <w:r>
        <w:rPr>
          <w:rFonts w:ascii="Verdana" w:eastAsia="Times New Roman" w:hAnsi="Verdana" w:cs="Calibri"/>
          <w:b/>
          <w:i/>
          <w:sz w:val="20"/>
          <w:szCs w:val="20"/>
          <w:lang w:eastAsia="cs-CZ"/>
        </w:rPr>
        <w:t>Policy</w:t>
      </w:r>
      <w:proofErr w:type="spellEnd"/>
      <w:r>
        <w:rPr>
          <w:rFonts w:ascii="Verdana" w:eastAsia="Times New Roman" w:hAnsi="Verdana" w:cs="Calibri"/>
          <w:b/>
          <w:sz w:val="20"/>
          <w:szCs w:val="20"/>
          <w:lang w:eastAsia="cs-CZ"/>
        </w:rPr>
        <w:t>: Stanovisko neziskových organizací, zahraniční případové studie řešení dopravní chudoby</w:t>
      </w:r>
    </w:p>
    <w:p w14:paraId="1B9F35AE" w14:textId="77777777" w:rsidR="00164E5B" w:rsidRDefault="00AD64EB">
      <w:pPr>
        <w:pBdr>
          <w:top w:val="none" w:sz="4" w:space="0" w:color="000000"/>
          <w:left w:val="none" w:sz="4" w:space="0" w:color="000000"/>
          <w:bottom w:val="none" w:sz="4" w:space="0" w:color="000000"/>
          <w:right w:val="none" w:sz="4" w:space="0" w:color="000000"/>
        </w:pBdr>
        <w:jc w:val="both"/>
        <w:rPr>
          <w:rFonts w:ascii="Verdana" w:hAnsi="Verdana" w:cs="Verdana"/>
          <w:szCs w:val="20"/>
        </w:rPr>
      </w:pPr>
      <w:r>
        <w:rPr>
          <w:rFonts w:ascii="Verdana" w:eastAsia="Verdana" w:hAnsi="Verdana" w:cs="Verdana"/>
          <w:sz w:val="20"/>
          <w:szCs w:val="20"/>
        </w:rPr>
        <w:t xml:space="preserve">R. </w:t>
      </w:r>
      <w:proofErr w:type="spellStart"/>
      <w:r>
        <w:rPr>
          <w:rFonts w:ascii="Verdana" w:eastAsia="Verdana" w:hAnsi="Verdana" w:cs="Verdana"/>
          <w:sz w:val="20"/>
          <w:szCs w:val="20"/>
        </w:rPr>
        <w:t>Hengalová</w:t>
      </w:r>
      <w:proofErr w:type="spellEnd"/>
      <w:r>
        <w:rPr>
          <w:rFonts w:ascii="Verdana" w:eastAsia="Verdana" w:hAnsi="Verdana" w:cs="Verdana"/>
          <w:sz w:val="20"/>
          <w:szCs w:val="20"/>
        </w:rPr>
        <w:t xml:space="preserve"> uvedla společnou prezentaci za neziskový sektor (</w:t>
      </w:r>
      <w:proofErr w:type="spellStart"/>
      <w:r>
        <w:rPr>
          <w:rFonts w:ascii="Verdana" w:eastAsia="Verdana" w:hAnsi="Verdana" w:cs="Verdana"/>
          <w:sz w:val="20"/>
          <w:szCs w:val="20"/>
        </w:rPr>
        <w:t>Europeum</w:t>
      </w:r>
      <w:proofErr w:type="spellEnd"/>
      <w:r>
        <w:rPr>
          <w:rFonts w:ascii="Verdana" w:eastAsia="Verdana" w:hAnsi="Verdana" w:cs="Verdana"/>
          <w:sz w:val="20"/>
          <w:szCs w:val="20"/>
        </w:rPr>
        <w:t xml:space="preserve">, Pěšky městem a Partnerství pro městskou mobilitu). Dále vystoupila P. Syrová, která představila koncept dopravní chudoby v kontextu spravedlivé transformace. Uvedla příklady dopravní chudoby a nemateriální deprivace – chybějící infrastruktura podporující udržitelnou dopravu na příkladu základní školy v Boskovicích – škola bez přechodu ležící na vysoce frekventované cestě a případ nevhodné urbanizace lokality Černého Mostu. Dále vysvětlila zásady prioritizace typů dopravy, která v zásadě preferuje zejména aktivní mobilitu a dále veřejnou hromadnou dopravu, sdílenou dopravu a individuální automobilovou dopravu (IAD). V nařízení o SKF není zmínka o pěší dopravě, pouze v čl. 8 je zmínka o aktivní mobilitě, rovněž mezi indikátory je uvedena pouze vybudovaná cyklistická infrastruktura. Poukázala na důležitost budování pěší infrastruktury a občanské vybavenosti jako prevenci dopravní chudoby v obcích </w:t>
      </w:r>
      <w:r>
        <w:rPr>
          <w:rFonts w:ascii="Verdana" w:eastAsia="Verdana" w:hAnsi="Verdana" w:cs="Verdana"/>
          <w:i/>
          <w:iCs/>
          <w:sz w:val="20"/>
          <w:szCs w:val="20"/>
        </w:rPr>
        <w:t xml:space="preserve">(viz přiložená prezentace TPS stanovisko </w:t>
      </w:r>
      <w:proofErr w:type="spellStart"/>
      <w:r>
        <w:rPr>
          <w:rFonts w:ascii="Verdana" w:eastAsia="Verdana" w:hAnsi="Verdana" w:cs="Verdana"/>
          <w:i/>
          <w:iCs/>
          <w:sz w:val="20"/>
          <w:szCs w:val="20"/>
        </w:rPr>
        <w:t>NGOs</w:t>
      </w:r>
      <w:proofErr w:type="spellEnd"/>
      <w:r>
        <w:rPr>
          <w:rFonts w:ascii="Verdana" w:eastAsia="Verdana" w:hAnsi="Verdana" w:cs="Verdana"/>
          <w:i/>
          <w:iCs/>
          <w:sz w:val="20"/>
          <w:szCs w:val="20"/>
        </w:rPr>
        <w:t>)</w:t>
      </w:r>
      <w:r>
        <w:rPr>
          <w:rFonts w:ascii="Verdana" w:eastAsia="Verdana" w:hAnsi="Verdana" w:cs="Verdana"/>
          <w:sz w:val="20"/>
          <w:szCs w:val="20"/>
        </w:rPr>
        <w:t>.</w:t>
      </w:r>
    </w:p>
    <w:p w14:paraId="45DB24C2" w14:textId="77777777" w:rsidR="00164E5B" w:rsidRPr="007B1287" w:rsidRDefault="00AD64EB" w:rsidP="007B1287">
      <w:pPr>
        <w:pBdr>
          <w:top w:val="none" w:sz="4" w:space="0" w:color="000000"/>
          <w:left w:val="none" w:sz="4" w:space="0" w:color="000000"/>
          <w:bottom w:val="none" w:sz="4" w:space="0" w:color="000000"/>
          <w:right w:val="none" w:sz="4" w:space="0" w:color="000000"/>
        </w:pBdr>
        <w:jc w:val="both"/>
        <w:rPr>
          <w:rFonts w:ascii="Verdana" w:hAnsi="Verdana" w:cs="Verdana"/>
          <w:szCs w:val="20"/>
        </w:rPr>
      </w:pPr>
      <w:r>
        <w:rPr>
          <w:rFonts w:ascii="Verdana" w:eastAsia="Verdana" w:hAnsi="Verdana" w:cs="Verdana"/>
          <w:sz w:val="20"/>
          <w:szCs w:val="20"/>
        </w:rPr>
        <w:t xml:space="preserve">J. Martínek prezentoval příklad z Olomouckého regionu, upozornil, že je důležité na to nahlížet jako na komplexní systém, zmínil možnosti přeshraniční spolupráce, a dále také SMARTA-NET, principy </w:t>
      </w:r>
      <w:proofErr w:type="spellStart"/>
      <w:r>
        <w:rPr>
          <w:rFonts w:ascii="Verdana" w:eastAsia="Verdana" w:hAnsi="Verdana" w:cs="Verdana"/>
          <w:sz w:val="20"/>
          <w:szCs w:val="20"/>
        </w:rPr>
        <w:t>MaaS</w:t>
      </w:r>
      <w:proofErr w:type="spellEnd"/>
      <w:r>
        <w:rPr>
          <w:rFonts w:ascii="Verdana" w:eastAsia="Verdana" w:hAnsi="Verdana" w:cs="Verdana"/>
          <w:sz w:val="20"/>
          <w:szCs w:val="20"/>
        </w:rPr>
        <w:t>, spolupráci na cyklistické infrastruktuře a nákup elektrokol na příkladu obce Svatý Jan nad Malší</w:t>
      </w:r>
      <w:r>
        <w:rPr>
          <w:rFonts w:ascii="Verdana" w:eastAsia="Verdana" w:hAnsi="Verdana" w:cs="Verdana"/>
          <w:i/>
          <w:iCs/>
          <w:sz w:val="20"/>
          <w:szCs w:val="20"/>
        </w:rPr>
        <w:t xml:space="preserve"> (viz přiložená prezentace TPS stanovisko </w:t>
      </w:r>
      <w:proofErr w:type="spellStart"/>
      <w:r>
        <w:rPr>
          <w:rFonts w:ascii="Verdana" w:eastAsia="Verdana" w:hAnsi="Verdana" w:cs="Verdana"/>
          <w:i/>
          <w:iCs/>
          <w:sz w:val="20"/>
          <w:szCs w:val="20"/>
        </w:rPr>
        <w:t>NGOs</w:t>
      </w:r>
      <w:proofErr w:type="spellEnd"/>
      <w:r>
        <w:rPr>
          <w:rFonts w:ascii="Verdana" w:eastAsia="Verdana" w:hAnsi="Verdana" w:cs="Verdana"/>
          <w:i/>
          <w:iCs/>
          <w:sz w:val="20"/>
          <w:szCs w:val="20"/>
        </w:rPr>
        <w:t>).</w:t>
      </w:r>
    </w:p>
    <w:p w14:paraId="031E0A6F" w14:textId="77777777" w:rsidR="00164E5B" w:rsidRDefault="00AD64EB">
      <w:pPr>
        <w:spacing w:after="0"/>
        <w:jc w:val="both"/>
        <w:rPr>
          <w:rFonts w:ascii="Verdana" w:hAnsi="Verdana" w:cs="Verdana"/>
          <w:sz w:val="16"/>
          <w:szCs w:val="16"/>
        </w:rPr>
      </w:pPr>
      <w:r>
        <w:rPr>
          <w:rFonts w:ascii="Verdana" w:eastAsia="Verdana" w:hAnsi="Verdana" w:cs="Verdana"/>
          <w:sz w:val="20"/>
          <w:szCs w:val="20"/>
        </w:rPr>
        <w:t xml:space="preserve">R. </w:t>
      </w:r>
      <w:proofErr w:type="spellStart"/>
      <w:r>
        <w:rPr>
          <w:rFonts w:ascii="Verdana" w:eastAsia="Verdana" w:hAnsi="Verdana" w:cs="Verdana"/>
          <w:sz w:val="20"/>
          <w:szCs w:val="20"/>
        </w:rPr>
        <w:t>Hengalová</w:t>
      </w:r>
      <w:proofErr w:type="spellEnd"/>
      <w:r>
        <w:rPr>
          <w:rFonts w:ascii="Verdana" w:eastAsia="Verdana" w:hAnsi="Verdana" w:cs="Verdana"/>
          <w:sz w:val="20"/>
          <w:szCs w:val="20"/>
        </w:rPr>
        <w:t xml:space="preserve"> prezentovala francouzský model sociálního leasingu elektroaut a rakouský model </w:t>
      </w:r>
      <w:proofErr w:type="spellStart"/>
      <w:r>
        <w:rPr>
          <w:rFonts w:ascii="Verdana" w:eastAsia="Verdana" w:hAnsi="Verdana" w:cs="Verdana"/>
          <w:sz w:val="20"/>
          <w:szCs w:val="20"/>
        </w:rPr>
        <w:t>Klimabonusu</w:t>
      </w:r>
      <w:proofErr w:type="spellEnd"/>
      <w:r>
        <w:rPr>
          <w:rFonts w:ascii="Verdana" w:eastAsia="Verdana" w:hAnsi="Verdana" w:cs="Verdana"/>
          <w:sz w:val="20"/>
          <w:szCs w:val="20"/>
        </w:rPr>
        <w:t xml:space="preserve"> – stát byl rozdělen do 4 typů regionů dle dopravní dostupnosti i podle dostupnosti jednotlivých služeb. Doporučila, abychom se spojili s Rakouskem a pobavili se o tom, jak došlo ke stanovení těchto regionů. Závěrem prezentovala příklady z Británie na krátkodobý pronájem elektrokol a skútrů, bezplatnou veřejnou dopravu pro osoby hledající práci a poptávkovou bezbariérovou dopravu </w:t>
      </w:r>
      <w:r>
        <w:rPr>
          <w:rFonts w:ascii="Verdana" w:eastAsia="Verdana" w:hAnsi="Verdana" w:cs="Verdana"/>
          <w:i/>
          <w:iCs/>
          <w:sz w:val="20"/>
          <w:szCs w:val="20"/>
        </w:rPr>
        <w:t xml:space="preserve">(viz přiložená prezentace TPS stanovisko </w:t>
      </w:r>
      <w:proofErr w:type="spellStart"/>
      <w:r>
        <w:rPr>
          <w:rFonts w:ascii="Verdana" w:eastAsia="Verdana" w:hAnsi="Verdana" w:cs="Verdana"/>
          <w:i/>
          <w:iCs/>
          <w:sz w:val="20"/>
          <w:szCs w:val="20"/>
        </w:rPr>
        <w:t>NGOs</w:t>
      </w:r>
      <w:proofErr w:type="spellEnd"/>
      <w:r>
        <w:rPr>
          <w:rFonts w:ascii="Verdana" w:eastAsia="Verdana" w:hAnsi="Verdana" w:cs="Verdana"/>
          <w:i/>
          <w:iCs/>
          <w:sz w:val="20"/>
          <w:szCs w:val="20"/>
        </w:rPr>
        <w:t>)</w:t>
      </w:r>
      <w:r>
        <w:rPr>
          <w:rFonts w:ascii="Verdana" w:eastAsia="Verdana" w:hAnsi="Verdana" w:cs="Verdana"/>
          <w:sz w:val="20"/>
          <w:szCs w:val="20"/>
        </w:rPr>
        <w:t xml:space="preserve">. J. Martínek avizoval, že 16.–18. července plánují schůzku s Rakouskem ke </w:t>
      </w:r>
      <w:proofErr w:type="spellStart"/>
      <w:r>
        <w:rPr>
          <w:rFonts w:ascii="Verdana" w:eastAsia="Verdana" w:hAnsi="Verdana" w:cs="Verdana"/>
          <w:sz w:val="20"/>
          <w:szCs w:val="20"/>
        </w:rPr>
        <w:t>Klimabonusu</w:t>
      </w:r>
      <w:proofErr w:type="spellEnd"/>
      <w:r>
        <w:rPr>
          <w:rFonts w:ascii="Verdana" w:eastAsia="Verdana" w:hAnsi="Verdana" w:cs="Verdana"/>
          <w:sz w:val="20"/>
          <w:szCs w:val="20"/>
        </w:rPr>
        <w:t>.</w:t>
      </w:r>
    </w:p>
    <w:p w14:paraId="328303A4" w14:textId="77777777" w:rsidR="00164E5B" w:rsidRDefault="00164E5B">
      <w:pPr>
        <w:spacing w:after="0"/>
        <w:jc w:val="both"/>
        <w:rPr>
          <w:rFonts w:ascii="Verdana" w:hAnsi="Verdana"/>
          <w:b/>
          <w:sz w:val="20"/>
          <w:szCs w:val="20"/>
        </w:rPr>
      </w:pPr>
    </w:p>
    <w:p w14:paraId="672F70B6" w14:textId="77777777" w:rsidR="00164E5B" w:rsidRDefault="00AD64EB">
      <w:pPr>
        <w:pStyle w:val="Odstavecseseznamem"/>
        <w:numPr>
          <w:ilvl w:val="0"/>
          <w:numId w:val="18"/>
        </w:numPr>
        <w:spacing w:after="0"/>
        <w:jc w:val="both"/>
        <w:rPr>
          <w:rFonts w:ascii="Verdana" w:hAnsi="Verdana"/>
          <w:b/>
          <w:sz w:val="20"/>
          <w:szCs w:val="20"/>
        </w:rPr>
      </w:pPr>
      <w:r>
        <w:rPr>
          <w:rFonts w:ascii="Verdana" w:hAnsi="Verdana"/>
          <w:b/>
          <w:sz w:val="20"/>
          <w:szCs w:val="20"/>
        </w:rPr>
        <w:t>Diskuze a závěr</w:t>
      </w:r>
    </w:p>
    <w:p w14:paraId="2203E790" w14:textId="77777777" w:rsidR="00164E5B" w:rsidRDefault="00164E5B">
      <w:pPr>
        <w:pStyle w:val="Odstavecseseznamem"/>
        <w:spacing w:after="0"/>
        <w:jc w:val="both"/>
        <w:rPr>
          <w:rFonts w:ascii="Verdana" w:hAnsi="Verdana"/>
          <w:sz w:val="20"/>
          <w:szCs w:val="20"/>
        </w:rPr>
      </w:pPr>
    </w:p>
    <w:p w14:paraId="0AD732F1" w14:textId="77777777" w:rsidR="00164E5B" w:rsidRDefault="00AD64EB">
      <w:pPr>
        <w:spacing w:after="0"/>
        <w:jc w:val="both"/>
        <w:rPr>
          <w:rFonts w:ascii="Verdana" w:hAnsi="Verdana"/>
          <w:sz w:val="20"/>
          <w:szCs w:val="20"/>
        </w:rPr>
      </w:pPr>
      <w:r>
        <w:rPr>
          <w:rFonts w:ascii="Verdana" w:hAnsi="Verdana"/>
          <w:b/>
          <w:sz w:val="20"/>
          <w:szCs w:val="20"/>
        </w:rPr>
        <w:t>Diskuze</w:t>
      </w:r>
      <w:r>
        <w:rPr>
          <w:rFonts w:ascii="Verdana" w:hAnsi="Verdana"/>
          <w:sz w:val="20"/>
          <w:szCs w:val="20"/>
        </w:rPr>
        <w:t xml:space="preserve"> se vedla okolo možnosti zajištění průchodností opatření u EK a navržení kofinancování jednotlivých opatření. </w:t>
      </w:r>
    </w:p>
    <w:p w14:paraId="7CCA00CB" w14:textId="77777777" w:rsidR="00164E5B" w:rsidRDefault="00164E5B">
      <w:pPr>
        <w:spacing w:after="0"/>
        <w:jc w:val="both"/>
        <w:rPr>
          <w:rFonts w:ascii="Verdana" w:hAnsi="Verdana"/>
          <w:sz w:val="20"/>
          <w:szCs w:val="20"/>
        </w:rPr>
      </w:pPr>
    </w:p>
    <w:p w14:paraId="6C8D6341" w14:textId="77777777" w:rsidR="00164E5B" w:rsidRDefault="00AD64EB">
      <w:pPr>
        <w:spacing w:after="0"/>
        <w:jc w:val="both"/>
        <w:rPr>
          <w:rFonts w:ascii="Verdana" w:hAnsi="Verdana"/>
          <w:sz w:val="20"/>
          <w:szCs w:val="20"/>
        </w:rPr>
      </w:pPr>
      <w:r>
        <w:rPr>
          <w:rFonts w:ascii="Verdana" w:hAnsi="Verdana"/>
          <w:sz w:val="20"/>
          <w:szCs w:val="20"/>
        </w:rPr>
        <w:t xml:space="preserve">J. Kepka poděkoval za jednání a za zaslané návrhy se kterými budeme dále pracovat (viz ppt a materiál </w:t>
      </w:r>
      <w:r>
        <w:rPr>
          <w:rFonts w:ascii="Verdana" w:hAnsi="Verdana"/>
          <w:i/>
          <w:sz w:val="20"/>
          <w:szCs w:val="20"/>
        </w:rPr>
        <w:t xml:space="preserve">„Indikativní seznam karet opatření pro SKF – doprava, verze 05/2024“), jsme otevřeni jejich doplněním. </w:t>
      </w:r>
      <w:r>
        <w:rPr>
          <w:rFonts w:ascii="Verdana" w:hAnsi="Verdana"/>
          <w:sz w:val="20"/>
          <w:szCs w:val="20"/>
        </w:rPr>
        <w:t>Další schůzka je plánovaná na 11. září od 13. hod.</w:t>
      </w:r>
    </w:p>
    <w:p w14:paraId="0725AA08" w14:textId="77777777" w:rsidR="00164E5B" w:rsidRDefault="00164E5B">
      <w:pPr>
        <w:jc w:val="both"/>
        <w:rPr>
          <w:rFonts w:ascii="Verdana" w:hAnsi="Verdana"/>
          <w:i/>
          <w:iCs/>
          <w:sz w:val="18"/>
          <w:szCs w:val="18"/>
        </w:rPr>
      </w:pPr>
    </w:p>
    <w:p w14:paraId="4AF89A4C" w14:textId="77777777" w:rsidR="00164E5B" w:rsidRDefault="00AD64EB">
      <w:pPr>
        <w:jc w:val="both"/>
        <w:rPr>
          <w:rFonts w:ascii="Verdana" w:hAnsi="Verdana"/>
          <w:i/>
          <w:iCs/>
          <w:sz w:val="18"/>
          <w:szCs w:val="18"/>
        </w:rPr>
      </w:pPr>
      <w:r>
        <w:rPr>
          <w:rFonts w:ascii="Verdana" w:hAnsi="Verdana"/>
          <w:i/>
          <w:iCs/>
          <w:sz w:val="18"/>
          <w:szCs w:val="18"/>
        </w:rPr>
        <w:t>Zapsala: B. Hanousková (MŽP), Schválil: J. Kepka (MŽP)</w:t>
      </w:r>
    </w:p>
    <w:p w14:paraId="3E442196" w14:textId="77777777" w:rsidR="00164E5B" w:rsidRDefault="00AD64EB">
      <w:pPr>
        <w:jc w:val="both"/>
        <w:rPr>
          <w:rFonts w:ascii="Verdana" w:hAnsi="Verdana"/>
          <w:i/>
          <w:iCs/>
          <w:sz w:val="18"/>
          <w:szCs w:val="18"/>
        </w:rPr>
      </w:pPr>
      <w:r>
        <w:rPr>
          <w:rFonts w:ascii="Verdana" w:hAnsi="Verdana"/>
          <w:i/>
          <w:iCs/>
          <w:sz w:val="18"/>
          <w:szCs w:val="18"/>
        </w:rPr>
        <w:t xml:space="preserve">Příloha: Prezentace 3. jednání TPS SKF D MŽP, Indikativní seznam karet opatření pro SKF – doprava  (verze 05/2024), Prezentace Stanovisko </w:t>
      </w:r>
      <w:proofErr w:type="spellStart"/>
      <w:r>
        <w:rPr>
          <w:rFonts w:ascii="Verdana" w:hAnsi="Verdana"/>
          <w:i/>
          <w:iCs/>
          <w:sz w:val="18"/>
          <w:szCs w:val="18"/>
        </w:rPr>
        <w:t>NGOs</w:t>
      </w:r>
      <w:proofErr w:type="spellEnd"/>
      <w:r w:rsidR="00E5402C">
        <w:rPr>
          <w:rFonts w:ascii="Verdana" w:hAnsi="Verdana"/>
          <w:i/>
          <w:iCs/>
          <w:sz w:val="18"/>
          <w:szCs w:val="18"/>
        </w:rPr>
        <w:t>.</w:t>
      </w:r>
    </w:p>
    <w:sectPr w:rsidR="00164E5B">
      <w:headerReference w:type="default" r:id="rId8"/>
      <w:pgSz w:w="11907" w:h="16840"/>
      <w:pgMar w:top="1361" w:right="1361" w:bottom="1361"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0293E" w14:textId="77777777" w:rsidR="003E6987" w:rsidRDefault="003E6987">
      <w:pPr>
        <w:spacing w:after="0" w:line="240" w:lineRule="auto"/>
      </w:pPr>
      <w:r>
        <w:separator/>
      </w:r>
    </w:p>
  </w:endnote>
  <w:endnote w:type="continuationSeparator" w:id="0">
    <w:p w14:paraId="0FFA8C35" w14:textId="77777777" w:rsidR="003E6987" w:rsidRDefault="003E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05323" w14:textId="77777777" w:rsidR="003E6987" w:rsidRDefault="003E6987">
      <w:pPr>
        <w:spacing w:after="0" w:line="240" w:lineRule="auto"/>
      </w:pPr>
      <w:r>
        <w:separator/>
      </w:r>
    </w:p>
  </w:footnote>
  <w:footnote w:type="continuationSeparator" w:id="0">
    <w:p w14:paraId="055763C7" w14:textId="77777777" w:rsidR="003E6987" w:rsidRDefault="003E6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48793" w14:textId="77777777" w:rsidR="00164E5B" w:rsidRDefault="00AD64EB">
    <w:pPr>
      <w:pStyle w:val="Zhlav"/>
    </w:pPr>
    <w:r>
      <w:rPr>
        <w:noProof/>
      </w:rPr>
      <mc:AlternateContent>
        <mc:Choice Requires="wpg">
          <w:drawing>
            <wp:inline distT="0" distB="0" distL="0" distR="0" wp14:anchorId="6BE1C1D0" wp14:editId="4ED5494A">
              <wp:extent cx="1996440" cy="30480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025988" cy="309311"/>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57.20pt;height:24.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37A5"/>
    <w:multiLevelType w:val="multilevel"/>
    <w:tmpl w:val="FFD4F610"/>
    <w:lvl w:ilvl="0">
      <w:start w:val="20"/>
      <w:numFmt w:val="bullet"/>
      <w:lvlText w:val="-"/>
      <w:lvlJc w:val="left"/>
      <w:pPr>
        <w:ind w:left="1080" w:hanging="360"/>
      </w:pPr>
      <w:rPr>
        <w:rFonts w:ascii="Verdana" w:eastAsia="Times New Roman" w:hAnsi="Verdana"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137942B5"/>
    <w:multiLevelType w:val="multilevel"/>
    <w:tmpl w:val="A3EAB41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4323E4A"/>
    <w:multiLevelType w:val="multilevel"/>
    <w:tmpl w:val="D5DE4E44"/>
    <w:lvl w:ilvl="0">
      <w:start w:val="1"/>
      <w:numFmt w:val="decimal"/>
      <w:lvlText w:val="%1."/>
      <w:lvlJc w:val="left"/>
      <w:pPr>
        <w:ind w:left="1417" w:hanging="360"/>
      </w:pPr>
    </w:lvl>
    <w:lvl w:ilvl="1">
      <w:start w:val="1"/>
      <w:numFmt w:val="lowerLetter"/>
      <w:lvlText w:val="%2."/>
      <w:lvlJc w:val="left"/>
      <w:pPr>
        <w:ind w:left="2137" w:hanging="360"/>
      </w:pPr>
    </w:lvl>
    <w:lvl w:ilvl="2">
      <w:start w:val="1"/>
      <w:numFmt w:val="lowerRoman"/>
      <w:lvlText w:val="%3."/>
      <w:lvlJc w:val="right"/>
      <w:pPr>
        <w:ind w:left="2857" w:hanging="180"/>
      </w:pPr>
    </w:lvl>
    <w:lvl w:ilvl="3">
      <w:start w:val="1"/>
      <w:numFmt w:val="decimal"/>
      <w:lvlText w:val="%4."/>
      <w:lvlJc w:val="left"/>
      <w:pPr>
        <w:ind w:left="3577" w:hanging="360"/>
      </w:pPr>
    </w:lvl>
    <w:lvl w:ilvl="4">
      <w:start w:val="1"/>
      <w:numFmt w:val="lowerLetter"/>
      <w:lvlText w:val="%5."/>
      <w:lvlJc w:val="left"/>
      <w:pPr>
        <w:ind w:left="4297" w:hanging="360"/>
      </w:pPr>
    </w:lvl>
    <w:lvl w:ilvl="5">
      <w:start w:val="1"/>
      <w:numFmt w:val="lowerRoman"/>
      <w:lvlText w:val="%6."/>
      <w:lvlJc w:val="right"/>
      <w:pPr>
        <w:ind w:left="5017" w:hanging="180"/>
      </w:pPr>
    </w:lvl>
    <w:lvl w:ilvl="6">
      <w:start w:val="1"/>
      <w:numFmt w:val="decimal"/>
      <w:lvlText w:val="%7."/>
      <w:lvlJc w:val="left"/>
      <w:pPr>
        <w:ind w:left="5737" w:hanging="360"/>
      </w:pPr>
    </w:lvl>
    <w:lvl w:ilvl="7">
      <w:start w:val="1"/>
      <w:numFmt w:val="lowerLetter"/>
      <w:lvlText w:val="%8."/>
      <w:lvlJc w:val="left"/>
      <w:pPr>
        <w:ind w:left="6457" w:hanging="360"/>
      </w:pPr>
    </w:lvl>
    <w:lvl w:ilvl="8">
      <w:start w:val="1"/>
      <w:numFmt w:val="lowerRoman"/>
      <w:lvlText w:val="%9."/>
      <w:lvlJc w:val="right"/>
      <w:pPr>
        <w:ind w:left="7177" w:hanging="180"/>
      </w:pPr>
    </w:lvl>
  </w:abstractNum>
  <w:abstractNum w:abstractNumId="3" w15:restartNumberingAfterBreak="0">
    <w:nsid w:val="2A622839"/>
    <w:multiLevelType w:val="multilevel"/>
    <w:tmpl w:val="994C739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CDC3C2E"/>
    <w:multiLevelType w:val="multilevel"/>
    <w:tmpl w:val="06A8B146"/>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C84BE8"/>
    <w:multiLevelType w:val="multilevel"/>
    <w:tmpl w:val="92EC125E"/>
    <w:lvl w:ilvl="0">
      <w:start w:val="1"/>
      <w:numFmt w:val="decimal"/>
      <w:lvlText w:val="%1."/>
      <w:lvlJc w:val="left"/>
      <w:pPr>
        <w:ind w:left="720" w:hanging="360"/>
      </w:pPr>
      <w:rPr>
        <w:rFonts w:hint="default"/>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8E55F7"/>
    <w:multiLevelType w:val="multilevel"/>
    <w:tmpl w:val="33F6E6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2045D9"/>
    <w:multiLevelType w:val="multilevel"/>
    <w:tmpl w:val="AEFEDE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AC01BF0"/>
    <w:multiLevelType w:val="multilevel"/>
    <w:tmpl w:val="EBEEB0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D6A5149"/>
    <w:multiLevelType w:val="multilevel"/>
    <w:tmpl w:val="299814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4220C75"/>
    <w:multiLevelType w:val="multilevel"/>
    <w:tmpl w:val="1EF27F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89122E5"/>
    <w:multiLevelType w:val="multilevel"/>
    <w:tmpl w:val="BCE667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8CD250D"/>
    <w:multiLevelType w:val="multilevel"/>
    <w:tmpl w:val="44A600A8"/>
    <w:lvl w:ilvl="0">
      <w:start w:val="1"/>
      <w:numFmt w:val="decimal"/>
      <w:lvlText w:val="%1."/>
      <w:lvlJc w:val="left"/>
      <w:pPr>
        <w:ind w:left="720" w:hanging="360"/>
      </w:pPr>
      <w:rPr>
        <w:rFonts w:ascii="Calibri" w:hAnsi="Calibri" w:cs="Calibr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4B7978"/>
    <w:multiLevelType w:val="multilevel"/>
    <w:tmpl w:val="9E78FC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F952B1E"/>
    <w:multiLevelType w:val="multilevel"/>
    <w:tmpl w:val="995E4A22"/>
    <w:lvl w:ilvl="0">
      <w:numFmt w:val="bullet"/>
      <w:lvlText w:val="-"/>
      <w:lvlJc w:val="left"/>
      <w:pPr>
        <w:ind w:left="720" w:hanging="360"/>
      </w:pPr>
      <w:rPr>
        <w:rFonts w:ascii="Verdana" w:eastAsiaTheme="minorHAnsi" w:hAnsi="Verdana"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29824CF"/>
    <w:multiLevelType w:val="multilevel"/>
    <w:tmpl w:val="8076A3D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4502A4A"/>
    <w:multiLevelType w:val="multilevel"/>
    <w:tmpl w:val="25A46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E4A4E62"/>
    <w:multiLevelType w:val="multilevel"/>
    <w:tmpl w:val="B5E6E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FF42F7F"/>
    <w:multiLevelType w:val="multilevel"/>
    <w:tmpl w:val="91EA3B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4257A44"/>
    <w:multiLevelType w:val="multilevel"/>
    <w:tmpl w:val="A10A6EA8"/>
    <w:lvl w:ilvl="0">
      <w:start w:val="1"/>
      <w:numFmt w:val="lowerLetter"/>
      <w:lvlText w:val="%1)"/>
      <w:lvlJc w:val="left"/>
      <w:pPr>
        <w:ind w:left="720" w:hanging="360"/>
      </w:pPr>
      <w:rPr>
        <w:rFonts w:hint="default"/>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A8C16D0"/>
    <w:multiLevelType w:val="multilevel"/>
    <w:tmpl w:val="E14CD1EC"/>
    <w:lvl w:ilvl="0">
      <w:start w:val="20"/>
      <w:numFmt w:val="bullet"/>
      <w:lvlText w:val="-"/>
      <w:lvlJc w:val="left"/>
      <w:pPr>
        <w:ind w:left="720" w:hanging="360"/>
      </w:pPr>
      <w:rPr>
        <w:rFonts w:ascii="Verdana" w:eastAsia="Times New Roman" w:hAnsi="Verdana"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401087">
    <w:abstractNumId w:val="6"/>
  </w:num>
  <w:num w:numId="2" w16cid:durableId="1537503097">
    <w:abstractNumId w:val="11"/>
  </w:num>
  <w:num w:numId="3" w16cid:durableId="711080161">
    <w:abstractNumId w:val="12"/>
  </w:num>
  <w:num w:numId="4" w16cid:durableId="1422989743">
    <w:abstractNumId w:val="9"/>
  </w:num>
  <w:num w:numId="5" w16cid:durableId="1186939656">
    <w:abstractNumId w:val="16"/>
  </w:num>
  <w:num w:numId="6" w16cid:durableId="498498533">
    <w:abstractNumId w:val="1"/>
  </w:num>
  <w:num w:numId="7" w16cid:durableId="1736583315">
    <w:abstractNumId w:val="8"/>
  </w:num>
  <w:num w:numId="8" w16cid:durableId="1704281170">
    <w:abstractNumId w:val="3"/>
  </w:num>
  <w:num w:numId="9" w16cid:durableId="1615210686">
    <w:abstractNumId w:val="10"/>
  </w:num>
  <w:num w:numId="10" w16cid:durableId="1922106852">
    <w:abstractNumId w:val="15"/>
  </w:num>
  <w:num w:numId="11" w16cid:durableId="718942983">
    <w:abstractNumId w:val="2"/>
  </w:num>
  <w:num w:numId="12" w16cid:durableId="1616139401">
    <w:abstractNumId w:val="0"/>
  </w:num>
  <w:num w:numId="13" w16cid:durableId="1743791696">
    <w:abstractNumId w:val="20"/>
  </w:num>
  <w:num w:numId="14" w16cid:durableId="16515306">
    <w:abstractNumId w:val="19"/>
  </w:num>
  <w:num w:numId="15" w16cid:durableId="157187299">
    <w:abstractNumId w:val="5"/>
  </w:num>
  <w:num w:numId="16" w16cid:durableId="1990358891">
    <w:abstractNumId w:val="7"/>
  </w:num>
  <w:num w:numId="17" w16cid:durableId="1216430222">
    <w:abstractNumId w:val="14"/>
  </w:num>
  <w:num w:numId="18" w16cid:durableId="1869488548">
    <w:abstractNumId w:val="4"/>
  </w:num>
  <w:num w:numId="19" w16cid:durableId="1309166677">
    <w:abstractNumId w:val="17"/>
  </w:num>
  <w:num w:numId="20" w16cid:durableId="1422336781">
    <w:abstractNumId w:val="13"/>
  </w:num>
  <w:num w:numId="21" w16cid:durableId="20915348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E5B"/>
    <w:rsid w:val="001056B3"/>
    <w:rsid w:val="00164E5B"/>
    <w:rsid w:val="001B5579"/>
    <w:rsid w:val="00381E37"/>
    <w:rsid w:val="003E6987"/>
    <w:rsid w:val="004A41DF"/>
    <w:rsid w:val="004F5891"/>
    <w:rsid w:val="007B1287"/>
    <w:rsid w:val="00990113"/>
    <w:rsid w:val="009F1BD4"/>
    <w:rsid w:val="00A94A90"/>
    <w:rsid w:val="00AD64EB"/>
    <w:rsid w:val="00BD7444"/>
    <w:rsid w:val="00C765C5"/>
    <w:rsid w:val="00E54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207BD"/>
  <w15:docId w15:val="{8CDB0CBE-3E4D-425E-8947-FC1A1A78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paragraph" w:customStyle="1" w:styleId="Default">
    <w:name w:val="Default"/>
    <w:pPr>
      <w:spacing w:after="0" w:line="240" w:lineRule="auto"/>
    </w:pPr>
    <w:rPr>
      <w:rFonts w:ascii="Verdana" w:hAnsi="Verdana" w:cs="Verdana"/>
      <w:color w:val="000000"/>
      <w:sz w:val="24"/>
      <w:szCs w:val="24"/>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table" w:styleId="Mkatabulky">
    <w:name w:val="Table Grid"/>
    <w:basedOn w:val="Normlntabulk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Pr>
      <w:b/>
      <w:bCs/>
    </w:rPr>
  </w:style>
  <w:style w:type="paragraph" w:styleId="Odstavecseseznamem">
    <w:name w:val="List Paragraph"/>
    <w:basedOn w:val="Normln"/>
    <w:uiPriority w:val="34"/>
    <w:qFormat/>
    <w:pPr>
      <w:ind w:left="720"/>
      <w:contextualSpacing/>
    </w:pPr>
  </w:style>
  <w:style w:type="character" w:styleId="Hypertextovodkaz">
    <w:name w:val="Hyperlink"/>
    <w:basedOn w:val="Standardnpsmoodstavce"/>
    <w:uiPriority w:val="99"/>
    <w:unhideWhenUsed/>
    <w:rPr>
      <w:color w:val="0563C1" w:themeColor="hyperlink"/>
      <w:u w:val="single"/>
    </w:rPr>
  </w:style>
  <w:style w:type="character" w:styleId="Nevyeenzmnka">
    <w:name w:val="Unresolved Mention"/>
    <w:basedOn w:val="Standardnpsmoodstavce"/>
    <w:uiPriority w:val="99"/>
    <w:semiHidden/>
    <w:unhideWhenUsed/>
    <w:rPr>
      <w:color w:val="605E5C"/>
      <w:shd w:val="clear" w:color="auto" w:fill="E1DFDD"/>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styleId="Sledovanodkaz">
    <w:name w:val="FollowedHyperlink"/>
    <w:basedOn w:val="Standardnpsmoodstavce"/>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598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A0A4-485A-48D4-B9AD-2E3D90DA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1446</Words>
  <Characters>8621</Characters>
  <Application>Microsoft Office Word</Application>
  <DocSecurity>0</DocSecurity>
  <Lines>153</Lines>
  <Paragraphs>41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Beáta</dc:creator>
  <cp:keywords/>
  <dc:description/>
  <cp:lastModifiedBy>Beáta Hanousková</cp:lastModifiedBy>
  <cp:revision>13</cp:revision>
  <dcterms:created xsi:type="dcterms:W3CDTF">2024-05-28T15:05:00Z</dcterms:created>
  <dcterms:modified xsi:type="dcterms:W3CDTF">2024-07-22T15:04:00Z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fe4d7caba26a22628677e40d2b1031630173c614f62fc8d70382786fcce831f3</vt:lpwstr>
  </property>
</Properties>
</file>