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jc w:val="center"/>
        <w:rPr>
          <w:rFonts w:ascii="Verdana" w:hAnsi="Verdana"/>
          <w:b/>
          <w:bCs/>
          <w:sz w:val="28"/>
          <w:szCs w:val="28"/>
        </w:rPr>
      </w:pPr>
      <w:r>
        <w:rPr>
          <w:rFonts w:ascii="Verdana" w:hAnsi="Verdana"/>
          <w:b/>
          <w:bCs/>
          <w:sz w:val="28"/>
        </w:rPr>
        <w:t xml:space="preserve">Tematická pracovní skupina k Sociálnímu klimatickému fondu pro oblast: DOPRAVA (TPS SKF D) </w:t>
      </w:r>
      <w:r>
        <w:rPr>
          <w:rFonts w:ascii="Verdana" w:hAnsi="Verdana"/>
          <w:b/>
          <w:bCs/>
          <w:sz w:val="28"/>
          <w:szCs w:val="28"/>
        </w:rPr>
      </w:r>
      <w:r>
        <w:rPr>
          <w:rFonts w:ascii="Verdana" w:hAnsi="Verdana"/>
          <w:b/>
          <w:bCs/>
          <w:sz w:val="28"/>
          <w:szCs w:val="28"/>
        </w:rPr>
      </w:r>
    </w:p>
    <w:p>
      <w:pPr>
        <w:pBdr/>
        <w:spacing/>
        <w:ind/>
        <w:jc w:val="center"/>
        <w:rPr>
          <w:rFonts w:ascii="Verdana" w:hAnsi="Verdana"/>
          <w:b/>
          <w:bCs/>
          <w:i/>
          <w:color w:val="767171" w:themeColor="background2" w:themeShade="80"/>
          <w:sz w:val="28"/>
          <w:szCs w:val="28"/>
          <w:highlight w:val="none"/>
        </w:rPr>
      </w:pPr>
      <w:r>
        <w:rPr>
          <w:rFonts w:ascii="Verdana" w:hAnsi="Verdana"/>
          <w:b/>
          <w:i/>
          <w:iCs/>
          <w:color w:val="767171" w:themeColor="background2" w:themeShade="80"/>
          <w:sz w:val="28"/>
        </w:rPr>
        <w:t xml:space="preserve">pracovní podklad</w:t>
      </w:r>
      <w:r>
        <w:rPr>
          <w:i/>
          <w:iCs/>
          <w:color w:val="767171" w:themeColor="background2" w:themeShade="80"/>
        </w:rPr>
      </w:r>
      <w:r>
        <w:rPr>
          <w:rFonts w:ascii="Verdana" w:hAnsi="Verdana"/>
          <w:b/>
          <w:bCs/>
          <w:i/>
          <w:color w:val="767171" w:themeColor="background2" w:themeShade="80"/>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highlight w:val="none"/>
        </w:rPr>
      </w:r>
      <w:r>
        <w:rPr>
          <w:rFonts w:ascii="Verdana" w:hAnsi="Verdana"/>
          <w:b/>
          <w:bCs/>
          <w:sz w:val="28"/>
          <w:highlight w:val="none"/>
        </w:rPr>
      </w:r>
      <w:r>
        <w:rPr>
          <w:rFonts w:ascii="Verdana" w:hAnsi="Verdana"/>
          <w:b/>
          <w:bCs/>
          <w:sz w:val="28"/>
          <w:szCs w:val="28"/>
          <w:highlight w:val="none"/>
        </w:rPr>
      </w:r>
    </w:p>
    <w:p>
      <w:pPr>
        <w:pBdr/>
        <w:spacing/>
        <w:ind/>
        <w:jc w:val="center"/>
        <w:rPr>
          <w:rFonts w:ascii="Verdana" w:hAnsi="Verdana"/>
          <w:b/>
          <w:bCs/>
          <w:sz w:val="44"/>
          <w:szCs w:val="44"/>
          <w:highlight w:val="none"/>
        </w:rPr>
      </w:pPr>
      <w:r>
        <w:rPr>
          <w:rFonts w:ascii="Verdana" w:hAnsi="Verdana"/>
          <w:b/>
          <w:bCs/>
          <w:sz w:val="44"/>
          <w:szCs w:val="36"/>
        </w:rPr>
        <w:t xml:space="preserve">Indikativní seznam opatření pro přípravu SKF</w:t>
      </w:r>
      <w:r>
        <w:rPr>
          <w:rFonts w:ascii="Verdana" w:hAnsi="Verdana"/>
          <w:b/>
          <w:bCs/>
          <w:sz w:val="44"/>
          <w:szCs w:val="44"/>
          <w:highlight w:val="none"/>
        </w:rPr>
      </w:r>
      <w:r>
        <w:rPr>
          <w:rFonts w:ascii="Verdana" w:hAnsi="Verdana"/>
          <w:b/>
          <w:bCs/>
          <w:sz w:val="44"/>
          <w:szCs w:val="44"/>
          <w:highlight w:val="none"/>
        </w:rPr>
      </w:r>
    </w:p>
    <w:p>
      <w:pPr>
        <w:pBdr/>
        <w:spacing/>
        <w:ind/>
        <w:jc w:val="center"/>
        <w:rPr>
          <w:rFonts w:ascii="Verdana" w:hAnsi="Verdana"/>
          <w:b/>
          <w:bCs/>
          <w:i/>
          <w:color w:val="767171" w:themeColor="background2" w:themeShade="80"/>
          <w:sz w:val="44"/>
          <w:szCs w:val="44"/>
          <w:highlight w:val="none"/>
        </w:rPr>
      </w:pPr>
      <w:r>
        <w:rPr>
          <w:rFonts w:ascii="Verdana" w:hAnsi="Verdana"/>
          <w:b/>
          <w:bCs/>
          <w:i/>
          <w:iCs/>
          <w:color w:val="767171" w:themeColor="background2" w:themeShade="80"/>
          <w:sz w:val="28"/>
          <w:szCs w:val="22"/>
          <w:highlight w:val="none"/>
        </w:rPr>
        <w:t xml:space="preserve">Verze 05/24</w:t>
      </w:r>
      <w:r>
        <w:rPr>
          <w:rFonts w:ascii="Verdana" w:hAnsi="Verdana"/>
          <w:b/>
          <w:bCs/>
          <w:i/>
          <w:iCs/>
          <w:color w:val="767171" w:themeColor="background2" w:themeShade="80"/>
          <w:sz w:val="28"/>
          <w:szCs w:val="22"/>
          <w:highlight w:val="none"/>
        </w:rPr>
      </w:r>
      <w:r>
        <w:rPr>
          <w:rFonts w:ascii="Verdana" w:hAnsi="Verdana"/>
          <w:b/>
          <w:bCs/>
          <w:i/>
          <w:color w:val="767171" w:themeColor="background2" w:themeShade="80"/>
          <w:sz w:val="44"/>
          <w:szCs w:val="44"/>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jc w:val="center"/>
        <w:rPr>
          <w:rFonts w:ascii="Verdana" w:hAnsi="Verdana"/>
          <w:b/>
          <w:bCs/>
          <w:sz w:val="28"/>
          <w:szCs w:val="28"/>
          <w:highlight w:val="none"/>
        </w:rPr>
      </w:pPr>
      <w:r>
        <w:rPr>
          <w:rFonts w:ascii="Verdana" w:hAnsi="Verdana"/>
          <w:b/>
          <w:bCs/>
          <w:sz w:val="28"/>
          <w:szCs w:val="28"/>
          <w:highlight w:val="none"/>
        </w:rPr>
      </w:r>
      <w:r>
        <w:rPr>
          <w:rFonts w:ascii="Verdana" w:hAnsi="Verdana"/>
          <w:b/>
          <w:bCs/>
          <w:sz w:val="28"/>
          <w:szCs w:val="28"/>
          <w:highlight w:val="none"/>
        </w:rPr>
      </w:r>
      <w:r>
        <w:rPr>
          <w:rFonts w:ascii="Verdana" w:hAnsi="Verdana"/>
          <w:b/>
          <w:bCs/>
          <w:sz w:val="28"/>
          <w:szCs w:val="28"/>
          <w:highlight w:val="none"/>
        </w:rPr>
      </w:r>
    </w:p>
    <w:p>
      <w:pPr>
        <w:pBdr/>
        <w:spacing/>
        <w:ind/>
        <w:rPr>
          <w:rFonts w:ascii="Verdana" w:hAnsi="Verdana"/>
          <w:b/>
          <w:bCs/>
          <w:sz w:val="20"/>
          <w:szCs w:val="20"/>
        </w:rPr>
      </w:pPr>
      <w:r>
        <w:rPr>
          <w:rFonts w:ascii="Verdana" w:hAnsi="Verdana"/>
          <w:b/>
          <w:bCs/>
          <w:sz w:val="20"/>
          <w:szCs w:val="20"/>
        </w:rPr>
      </w:r>
      <w:r>
        <w:rPr>
          <w:rFonts w:ascii="Verdana" w:hAnsi="Verdana"/>
          <w:b/>
          <w:bCs/>
          <w:sz w:val="20"/>
          <w:szCs w:val="20"/>
        </w:rPr>
      </w:r>
      <w:r>
        <w:rPr>
          <w:rFonts w:ascii="Verdana" w:hAnsi="Verdana"/>
          <w:b/>
          <w:bCs/>
          <w:sz w:val="20"/>
          <w:szCs w:val="20"/>
        </w:rPr>
      </w:r>
    </w:p>
    <w:p>
      <w:pPr>
        <w:pBdr/>
        <w:spacing/>
        <w:ind/>
        <w:rPr>
          <w:rFonts w:ascii="Verdana" w:hAnsi="Verdana"/>
          <w:b/>
          <w:bCs/>
          <w:sz w:val="20"/>
          <w:szCs w:val="20"/>
        </w:rPr>
      </w:pPr>
      <w:r>
        <w:rPr>
          <w:rFonts w:ascii="Verdana" w:hAnsi="Verdana"/>
          <w:b/>
          <w:bCs/>
          <w:sz w:val="20"/>
          <w:szCs w:val="20"/>
        </w:rPr>
      </w:r>
      <w:r>
        <w:rPr>
          <w:rFonts w:ascii="Verdana" w:hAnsi="Verdana"/>
          <w:b/>
          <w:bCs/>
          <w:sz w:val="20"/>
          <w:szCs w:val="20"/>
        </w:rPr>
      </w:r>
      <w:r>
        <w:rPr>
          <w:rFonts w:ascii="Verdana" w:hAnsi="Verdana"/>
          <w:b/>
          <w:bCs/>
          <w:sz w:val="20"/>
          <w:szCs w:val="20"/>
        </w:rPr>
      </w:r>
    </w:p>
    <w:p>
      <w:pPr>
        <w:pBdr/>
        <w:spacing/>
        <w:ind/>
        <w:rPr>
          <w:rFonts w:ascii="Verdana" w:hAnsi="Verdana"/>
          <w:b/>
          <w:bCs/>
          <w:sz w:val="20"/>
          <w:szCs w:val="20"/>
        </w:rPr>
      </w:pPr>
      <w:r>
        <w:rPr>
          <w:rFonts w:ascii="Verdana" w:hAnsi="Verdana"/>
          <w:b/>
          <w:sz w:val="20"/>
        </w:rPr>
        <w:t xml:space="preserve">Návod na přípravu karet opatření:</w:t>
      </w:r>
      <w:r>
        <w:rPr>
          <w:rFonts w:ascii="Verdana" w:hAnsi="Verdana"/>
          <w:b/>
          <w:bCs/>
          <w:sz w:val="20"/>
          <w:szCs w:val="20"/>
        </w:rPr>
      </w:r>
      <w:r>
        <w:rPr>
          <w:rFonts w:ascii="Verdana" w:hAnsi="Verdana"/>
          <w:b/>
          <w:bCs/>
          <w:sz w:val="20"/>
          <w:szCs w:val="20"/>
        </w:rPr>
      </w:r>
    </w:p>
    <w:p>
      <w:pPr>
        <w:pStyle w:val="886"/>
        <w:numPr>
          <w:ilvl w:val="0"/>
          <w:numId w:val="3"/>
        </w:numPr>
        <w:pBdr/>
        <w:spacing/>
        <w:ind/>
        <w:rPr>
          <w:rFonts w:ascii="Verdana" w:hAnsi="Verdana"/>
          <w:sz w:val="20"/>
        </w:rPr>
      </w:pPr>
      <w:r>
        <w:rPr>
          <w:rFonts w:ascii="Verdana" w:hAnsi="Verdana"/>
          <w:sz w:val="20"/>
        </w:rPr>
        <w:t xml:space="preserve">Prosíme o vyplnění karet (počet není limitován) viz šablony níže</w:t>
      </w:r>
      <w:r>
        <w:rPr>
          <w:rFonts w:ascii="Verdana" w:hAnsi="Verdana"/>
          <w:sz w:val="20"/>
        </w:rPr>
      </w:r>
      <w:r>
        <w:rPr>
          <w:rFonts w:ascii="Verdana" w:hAnsi="Verdana"/>
          <w:sz w:val="20"/>
        </w:rPr>
      </w:r>
    </w:p>
    <w:p>
      <w:pPr>
        <w:pStyle w:val="886"/>
        <w:numPr>
          <w:ilvl w:val="0"/>
          <w:numId w:val="3"/>
        </w:numPr>
        <w:pBdr/>
        <w:spacing/>
        <w:ind/>
        <w:rPr>
          <w:rFonts w:ascii="Verdana" w:hAnsi="Verdana"/>
          <w:sz w:val="20"/>
        </w:rPr>
      </w:pPr>
      <w:r>
        <w:rPr>
          <w:rFonts w:ascii="Verdana" w:hAnsi="Verdana"/>
          <w:sz w:val="20"/>
        </w:rPr>
        <w:t xml:space="preserve">Prosím uveďte vazbu na indikátory, které jsou přílohou dokumentu (poslední strana tohoto dokumentu), příp. vazbu na územní dimenzi</w:t>
      </w:r>
      <w:r>
        <w:rPr>
          <w:rFonts w:ascii="Verdana" w:hAnsi="Verdana"/>
          <w:sz w:val="20"/>
        </w:rPr>
      </w:r>
      <w:r>
        <w:rPr>
          <w:rFonts w:ascii="Verdana" w:hAnsi="Verdana"/>
          <w:sz w:val="20"/>
        </w:rPr>
      </w:r>
    </w:p>
    <w:p>
      <w:pPr>
        <w:pBdr/>
        <w:spacing/>
        <w:ind/>
        <w:rPr>
          <w:rFonts w:ascii="Verdana" w:hAnsi="Verdana"/>
          <w:b/>
          <w:sz w:val="18"/>
          <w:szCs w:val="18"/>
        </w:rPr>
      </w:pPr>
      <w:r>
        <w:rPr>
          <w:rFonts w:ascii="Verdana" w:hAnsi="Verdana"/>
          <w:b/>
          <w:sz w:val="20"/>
          <w:szCs w:val="20"/>
        </w:rPr>
        <w:t xml:space="preserve">Způsobilost dle nařízení o SKF:</w:t>
      </w:r>
      <w:r>
        <w:rPr>
          <w:rFonts w:ascii="Verdana" w:hAnsi="Verdana"/>
          <w:b/>
          <w:sz w:val="18"/>
          <w:szCs w:val="18"/>
        </w:rPr>
      </w:r>
      <w:r>
        <w:rPr>
          <w:rFonts w:ascii="Verdana" w:hAnsi="Verdana"/>
          <w:b/>
          <w:sz w:val="18"/>
          <w:szCs w:val="18"/>
        </w:rPr>
      </w:r>
    </w:p>
    <w:p>
      <w:pPr>
        <w:pStyle w:val="886"/>
        <w:numPr>
          <w:ilvl w:val="0"/>
          <w:numId w:val="5"/>
        </w:numPr>
        <w:pBdr/>
        <w:spacing/>
        <w:ind/>
        <w:rPr>
          <w:rFonts w:ascii="Verdana" w:hAnsi="Verdana"/>
          <w:sz w:val="20"/>
        </w:rPr>
      </w:pPr>
      <w:r>
        <w:rPr>
          <w:rFonts w:ascii="Verdana" w:hAnsi="Verdana"/>
          <w:b/>
          <w:sz w:val="20"/>
        </w:rPr>
        <w:t xml:space="preserve">Pobídky k využívání veřejné dopravy a dalších možností mobility</w:t>
      </w:r>
      <w:r>
        <w:rPr>
          <w:rFonts w:ascii="Verdana" w:hAnsi="Verdana"/>
          <w:sz w:val="20"/>
        </w:rPr>
        <w:t xml:space="preserve">: Opatření by měla motivovat k využívání cenově dostupné a přístupné veřejné dopravy spolu s rozvojem a poskytováním udržitelné mobility na vyžádání (</w:t>
      </w:r>
      <w:r>
        <w:rPr>
          <w:rFonts w:ascii="Verdana" w:hAnsi="Verdana"/>
          <w:sz w:val="20"/>
        </w:rPr>
        <w:t xml:space="preserve">MoD</w:t>
      </w:r>
      <w:r>
        <w:rPr>
          <w:rFonts w:ascii="Verdana" w:hAnsi="Verdana"/>
          <w:sz w:val="20"/>
        </w:rPr>
        <w:t xml:space="preserve">), služeb sdílené mobility (např. sdílení automobilů a spolujízda/e-</w:t>
      </w:r>
      <w:r>
        <w:rPr>
          <w:rFonts w:ascii="Verdana" w:hAnsi="Verdana"/>
          <w:sz w:val="20"/>
        </w:rPr>
        <w:t xml:space="preserve">carsharing</w:t>
      </w:r>
      <w:r>
        <w:rPr>
          <w:rFonts w:ascii="Verdana" w:hAnsi="Verdana"/>
          <w:sz w:val="20"/>
        </w:rPr>
        <w:t xml:space="preserve">, car-</w:t>
      </w:r>
      <w:r>
        <w:rPr>
          <w:rFonts w:ascii="Verdana" w:hAnsi="Verdana"/>
          <w:sz w:val="20"/>
        </w:rPr>
        <w:t xml:space="preserve">pooling</w:t>
      </w:r>
      <w:r>
        <w:rPr>
          <w:rFonts w:ascii="Verdana" w:hAnsi="Verdana"/>
          <w:sz w:val="20"/>
        </w:rPr>
        <w:t xml:space="preserve">) </w:t>
      </w:r>
      <w:r>
        <w:rPr>
          <w:rFonts w:ascii="Verdana" w:hAnsi="Verdana"/>
          <w:sz w:val="20"/>
        </w:rPr>
      </w:r>
      <w:r>
        <w:rPr>
          <w:rFonts w:ascii="Verdana" w:hAnsi="Verdana"/>
          <w:sz w:val="20"/>
        </w:rPr>
      </w:r>
    </w:p>
    <w:p>
      <w:pPr>
        <w:pStyle w:val="886"/>
        <w:pBdr/>
        <w:spacing/>
        <w:ind/>
        <w:rPr>
          <w:rFonts w:ascii="Verdana" w:hAnsi="Verdana"/>
          <w:sz w:val="20"/>
        </w:rPr>
      </w:pPr>
      <w:r>
        <w:rPr>
          <w:rFonts w:ascii="Verdana" w:hAnsi="Verdana"/>
          <w:sz w:val="20"/>
        </w:rPr>
        <w:t xml:space="preserve">a možností aktivní mobility.</w:t>
      </w:r>
      <w:r>
        <w:rPr>
          <w:rFonts w:ascii="Verdana" w:hAnsi="Verdana"/>
          <w:sz w:val="20"/>
        </w:rPr>
      </w:r>
      <w:r>
        <w:rPr>
          <w:rFonts w:ascii="Verdana" w:hAnsi="Verdana"/>
          <w:sz w:val="20"/>
        </w:rPr>
      </w:r>
    </w:p>
    <w:p>
      <w:pPr>
        <w:pStyle w:val="886"/>
        <w:numPr>
          <w:ilvl w:val="0"/>
          <w:numId w:val="5"/>
        </w:numPr>
        <w:pBdr/>
        <w:spacing/>
        <w:ind/>
        <w:rPr>
          <w:rFonts w:ascii="Verdana" w:hAnsi="Verdana"/>
          <w:sz w:val="20"/>
        </w:rPr>
      </w:pPr>
      <w:r>
        <w:rPr>
          <w:rFonts w:ascii="Verdana" w:hAnsi="Verdana"/>
          <w:b/>
          <w:sz w:val="20"/>
        </w:rPr>
        <w:t xml:space="preserve">Přístup k bezemisním a </w:t>
      </w:r>
      <w:r>
        <w:rPr>
          <w:rFonts w:ascii="Verdana" w:hAnsi="Verdana"/>
          <w:b/>
          <w:sz w:val="20"/>
        </w:rPr>
        <w:t xml:space="preserve">nízkoemisním</w:t>
      </w:r>
      <w:r>
        <w:rPr>
          <w:rFonts w:ascii="Verdana" w:hAnsi="Verdana"/>
          <w:b/>
          <w:sz w:val="20"/>
        </w:rPr>
        <w:t xml:space="preserve"> vozidlům</w:t>
      </w:r>
      <w:r>
        <w:rPr>
          <w:rFonts w:ascii="Verdana" w:hAnsi="Verdana"/>
          <w:sz w:val="20"/>
        </w:rPr>
        <w:t xml:space="preserve"> a jízdním kolům: Finanční </w:t>
      </w:r>
      <w:r>
        <w:rPr>
          <w:rFonts w:ascii="Verdana" w:hAnsi="Verdana"/>
          <w:sz w:val="20"/>
        </w:rPr>
      </w:r>
      <w:r>
        <w:rPr>
          <w:rFonts w:ascii="Verdana" w:hAnsi="Verdana"/>
          <w:sz w:val="20"/>
        </w:rPr>
      </w:r>
    </w:p>
    <w:p>
      <w:pPr>
        <w:pStyle w:val="886"/>
        <w:pBdr/>
        <w:spacing/>
        <w:ind/>
        <w:rPr>
          <w:rFonts w:ascii="Verdana" w:hAnsi="Verdana"/>
          <w:sz w:val="20"/>
        </w:rPr>
      </w:pPr>
      <w:r>
        <w:rPr>
          <w:rFonts w:ascii="Verdana" w:hAnsi="Verdana"/>
          <w:sz w:val="20"/>
        </w:rPr>
        <w:t xml:space="preserve">a daňová opatření pro nákup vozidel s nulovými a nízkými emisemi a rozvoj soukromé a veřejné infrastruktury. Důraz je kladen na podporu nákupu vozidel </w:t>
      </w:r>
      <w:r>
        <w:rPr>
          <w:rFonts w:ascii="Verdana" w:hAnsi="Verdana"/>
          <w:sz w:val="20"/>
        </w:rPr>
      </w:r>
      <w:r>
        <w:rPr>
          <w:rFonts w:ascii="Verdana" w:hAnsi="Verdana"/>
          <w:sz w:val="20"/>
        </w:rPr>
      </w:r>
    </w:p>
    <w:p>
      <w:pPr>
        <w:pStyle w:val="886"/>
        <w:pBdr/>
        <w:spacing/>
        <w:ind/>
        <w:rPr>
          <w:rFonts w:ascii="Verdana" w:hAnsi="Verdana"/>
          <w:sz w:val="20"/>
        </w:rPr>
      </w:pPr>
      <w:r>
        <w:rPr>
          <w:rFonts w:ascii="Verdana" w:hAnsi="Verdana"/>
          <w:sz w:val="20"/>
        </w:rPr>
        <w:t xml:space="preserve">s nulovými emisemi (tj. elektromobilů, dodávek a nákladních vozidel), financování dobíjecí infrastruktury a rozvoj trhu s ojetými elektromobily, pokud jsou dostupná.</w:t>
      </w:r>
      <w:r>
        <w:rPr>
          <w:rFonts w:ascii="Verdana" w:hAnsi="Verdana"/>
          <w:sz w:val="20"/>
        </w:rPr>
      </w:r>
      <w:r>
        <w:rPr>
          <w:rFonts w:ascii="Verdana" w:hAnsi="Verdana"/>
          <w:sz w:val="20"/>
        </w:rPr>
      </w:r>
    </w:p>
    <w:p>
      <w:pPr>
        <w:pStyle w:val="886"/>
        <w:numPr>
          <w:ilvl w:val="0"/>
          <w:numId w:val="5"/>
        </w:numPr>
        <w:pBdr/>
        <w:spacing/>
        <w:ind/>
        <w:rPr>
          <w:rFonts w:ascii="Verdana" w:hAnsi="Verdana"/>
          <w:sz w:val="20"/>
        </w:rPr>
      </w:pPr>
      <w:r>
        <w:rPr>
          <w:rFonts w:ascii="Verdana" w:hAnsi="Verdana"/>
          <w:sz w:val="20"/>
        </w:rPr>
        <w:t xml:space="preserve">Pro usnadnění zavádění ekologických investic mohou být </w:t>
      </w:r>
      <w:r>
        <w:rPr>
          <w:rFonts w:ascii="Verdana" w:hAnsi="Verdana"/>
          <w:b/>
          <w:sz w:val="20"/>
        </w:rPr>
        <w:t xml:space="preserve">financovány podpůrné služby</w:t>
      </w:r>
      <w:r>
        <w:rPr>
          <w:rFonts w:ascii="Verdana" w:hAnsi="Verdana"/>
          <w:sz w:val="20"/>
        </w:rPr>
        <w:t xml:space="preserve">, které poskytují informace a porade</w:t>
      </w:r>
      <w:r>
        <w:rPr>
          <w:rFonts w:ascii="Verdana" w:hAnsi="Verdana"/>
          <w:sz w:val="20"/>
        </w:rPr>
        <w:t xml:space="preserve">nství, jakož i kapacity na podporu realizace. Např.: Informační, vzdělávací, osvětové a poradenské služby. Ty by měly být přístupné a cenově dostupné, aby cílovým skupinám umožnily lepší přístup k dostupné podpoře pro alternativní formy mobility a dopravy.</w:t>
      </w:r>
      <w:r>
        <w:rPr>
          <w:rFonts w:ascii="Verdana" w:hAnsi="Verdana"/>
          <w:sz w:val="20"/>
        </w:rPr>
      </w:r>
      <w:r>
        <w:rPr>
          <w:rFonts w:ascii="Verdana" w:hAnsi="Verdana"/>
          <w:sz w:val="20"/>
        </w:rPr>
      </w:r>
    </w:p>
    <w:p>
      <w:pPr>
        <w:pBdr/>
        <w:spacing/>
        <w:ind/>
        <w:rPr>
          <w:rFonts w:ascii="Verdana" w:hAnsi="Verdana"/>
          <w:b/>
          <w:bCs/>
        </w:rPr>
      </w:pPr>
      <w:r>
        <w:rPr>
          <w:rFonts w:ascii="Verdana" w:hAnsi="Verdana"/>
          <w:b/>
          <w:highlight w:val="none"/>
        </w:rPr>
      </w:r>
      <w:r>
        <w:rPr>
          <w:rFonts w:ascii="Verdana" w:hAnsi="Verdana"/>
          <w:b/>
          <w:highlight w:val="none"/>
        </w:rPr>
      </w:r>
      <w:r>
        <w:rPr>
          <w:rFonts w:ascii="Verdana" w:hAnsi="Verdana"/>
          <w:b/>
          <w:bCs/>
        </w:rPr>
      </w:r>
    </w:p>
    <w:p>
      <w:pPr>
        <w:pBdr/>
        <w:spacing/>
        <w:ind/>
        <w:rPr>
          <w:rFonts w:ascii="Verdana" w:hAnsi="Verdana"/>
          <w:b/>
          <w:bCs/>
          <w:highlight w:val="none"/>
        </w:rPr>
      </w:pPr>
      <w:r>
        <w:rPr>
          <w:rFonts w:ascii="Verdana" w:hAnsi="Verdana"/>
          <w:b/>
        </w:rPr>
        <w:t xml:space="preserve">Navrhované karty </w:t>
      </w:r>
      <w:r>
        <w:rPr>
          <w:rFonts w:ascii="Verdana" w:hAnsi="Verdana"/>
          <w:b/>
        </w:rPr>
        <w:t xml:space="preserve">opatření členů TPS SKF D:</w:t>
      </w:r>
      <w:r>
        <w:rPr>
          <w:rFonts w:ascii="Verdana" w:hAnsi="Verdana"/>
          <w:b/>
          <w:bCs/>
          <w:highlight w:val="none"/>
        </w:rPr>
      </w:r>
      <w:r>
        <w:rPr>
          <w:rFonts w:ascii="Verdana" w:hAnsi="Verdana"/>
          <w:b/>
          <w:bCs/>
          <w:highlight w:val="none"/>
        </w:rPr>
      </w:r>
    </w:p>
    <w:p>
      <w:pPr>
        <w:pBdr/>
        <w:spacing/>
        <w:ind/>
        <w:rPr>
          <w:rFonts w:ascii="Verdana" w:hAnsi="Verdana"/>
          <w:b/>
        </w:rPr>
      </w:pPr>
      <w:r>
        <w:rPr>
          <w:rFonts w:ascii="Verdana" w:hAnsi="Verdana"/>
          <w:b/>
        </w:rPr>
        <w:t xml:space="preserve">MD:</w:t>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Zvýhodněné cestování veřejnou dopravou pro osoby dopravně chudé</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Příspěvek na nákup předplatní regionální síťové jízdenky ve veřejné dopravě pro cestující zasažené dopravní chudobou</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Pro dopravní chudobou ohrožené skupiny obyvatelstva zajištění snížení ceny předplatného jízdného ve veřejné dopravě (typicky p</w:t>
            </w:r>
            <w:r>
              <w:rPr>
                <w:rFonts w:ascii="Verdana" w:hAnsi="Verdana"/>
                <w:sz w:val="18"/>
                <w:szCs w:val="18"/>
              </w:rPr>
              <w:t xml:space="preserve">ředplatných jízdních dokladů integrovaných dopravních systémů). Příspěvek na předplatní jízdenky pomůže k zjednodušení zajištění jejich nezbytných potřeb cestování do škol, zaměstnání, zdravotnických zařízení a k orgánům veřejné moci a tím posílení jejich </w:t>
            </w:r>
            <w:r>
              <w:rPr>
                <w:rFonts w:ascii="Verdana" w:hAnsi="Verdana"/>
                <w:sz w:val="18"/>
                <w:szCs w:val="18"/>
              </w:rPr>
              <w:t xml:space="preserve">socio</w:t>
            </w:r>
            <w:r>
              <w:rPr>
                <w:rFonts w:ascii="Verdana" w:hAnsi="Verdana"/>
                <w:sz w:val="18"/>
                <w:szCs w:val="18"/>
              </w:rPr>
              <w:t xml:space="preserve">-ekonomických vazeb. </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Podpora využití veřejné dopravy přispěje k dekarbonizaci dopravy a snížení závislosti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Příspěvek na snížení ceny předplatní jízdenky ve veřejné dopravě </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bCs/>
                <w:sz w:val="18"/>
                <w:szCs w:val="18"/>
              </w:rPr>
            </w:pPr>
            <w:r>
              <w:rPr>
                <w:rFonts w:ascii="Verdana" w:hAnsi="Verdana"/>
                <w:b/>
                <w:bCs/>
                <w:sz w:val="18"/>
                <w:szCs w:val="18"/>
              </w:rPr>
              <w:t xml:space="preserve">Odhadovaný finanční náklad max. 6,4 mld. Kč</w:t>
            </w:r>
            <w:r>
              <w:rPr>
                <w:rFonts w:ascii="Verdana" w:hAnsi="Verdana"/>
                <w:b/>
                <w:bCs/>
                <w:sz w:val="18"/>
                <w:szCs w:val="18"/>
              </w:rPr>
            </w:r>
            <w:r>
              <w:rPr>
                <w:rFonts w:ascii="Verdana" w:hAnsi="Verdana"/>
                <w:b/>
                <w:bCs/>
                <w:sz w:val="18"/>
                <w:szCs w:val="18"/>
              </w:rPr>
            </w:r>
          </w:p>
          <w:p>
            <w:pPr>
              <w:pBdr/>
              <w:spacing/>
              <w:ind/>
              <w:rPr>
                <w:rFonts w:ascii="Verdana" w:hAnsi="Verdana"/>
                <w:sz w:val="18"/>
                <w:szCs w:val="18"/>
              </w:rPr>
            </w:pPr>
            <w:r>
              <w:rPr>
                <w:rFonts w:ascii="Verdana" w:hAnsi="Verdana"/>
                <w:sz w:val="18"/>
                <w:szCs w:val="18"/>
              </w:rPr>
              <w:t xml:space="preserve">Předplatní regionální síťový jízdní doklad roční představuje investici v rozmezí 12 000 – 20 000 Kč, je tedy možné uvažovat průměrný náklad na pořízení jízdního dokladu cca 16 000 Kč, počet lidí zasažených dopravní chudobou cca 800 000 os</w:t>
            </w:r>
            <w:r>
              <w:rPr>
                <w:rFonts w:ascii="Verdana" w:hAnsi="Verdana"/>
                <w:sz w:val="18"/>
                <w:szCs w:val="18"/>
              </w:rPr>
              <w:t xml:space="preserve">ob (STEM 2024). Pokud by příspěvek na cestování činil 50 % z ceny těchto jízdních dokladů, je odhadovaný finanční náklad 6 400 000 000 Kč. Jedná se o maximální částku, protože nelze předpokládat, že všichni z uvedené skupiny obyvatel si daný doklad pořídí.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Typ nákladu: provozní</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1, 8, 9, 11, 13</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Sdílená doprava: nákup </w:t>
            </w:r>
            <w:r>
              <w:rPr>
                <w:rFonts w:ascii="Verdana" w:hAnsi="Verdana"/>
                <w:b/>
                <w:sz w:val="18"/>
                <w:szCs w:val="18"/>
              </w:rPr>
              <w:t xml:space="preserve">elektrokol</w:t>
            </w:r>
            <w:r>
              <w:rPr>
                <w:rFonts w:ascii="Verdana" w:hAnsi="Verdana"/>
                <w:b/>
                <w:sz w:val="18"/>
                <w:szCs w:val="18"/>
              </w:rPr>
              <w:t xml:space="preserve"> včetně zajištění dobíjecí infrastruktury a technického zázemí</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Nákup sdílených </w:t>
            </w:r>
            <w:r>
              <w:rPr>
                <w:rFonts w:ascii="Verdana" w:hAnsi="Verdana"/>
                <w:sz w:val="18"/>
                <w:szCs w:val="18"/>
              </w:rPr>
              <w:t xml:space="preserve">elektrokol</w:t>
            </w:r>
            <w:r>
              <w:rPr>
                <w:rFonts w:ascii="Verdana" w:hAnsi="Verdana"/>
                <w:sz w:val="18"/>
                <w:szCs w:val="18"/>
              </w:rPr>
              <w:t xml:space="preserve"> pro zajištění alternativní dopravy pro úroveň obecní samosprávy v oblastech s obtížným zajištěním veřejnou hromadnou dopravou v potřebných standardech pro snadnější dosažení míst dopravní obslužnosti.</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socioekonomických potřeb, cestami do zaměstnání, škol, úřadů odkázání na využívání IAD, usnadnění dosažení míst dopravní obslužnosti. </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Podpora využívání </w:t>
            </w:r>
            <w:r>
              <w:rPr>
                <w:rFonts w:ascii="Verdana" w:hAnsi="Verdana"/>
                <w:sz w:val="18"/>
                <w:szCs w:val="18"/>
              </w:rPr>
              <w:t xml:space="preserve">elektrokol</w:t>
            </w:r>
            <w:r>
              <w:rPr>
                <w:rFonts w:ascii="Verdana" w:hAnsi="Verdana"/>
                <w:sz w:val="18"/>
                <w:szCs w:val="18"/>
              </w:rPr>
              <w:t xml:space="preserve"> přispěje k dekarbonizaci dopravy. </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nákupu sdílených </w:t>
            </w:r>
            <w:r>
              <w:rPr>
                <w:rFonts w:ascii="Verdana" w:hAnsi="Verdana"/>
                <w:sz w:val="18"/>
                <w:szCs w:val="18"/>
              </w:rPr>
              <w:t xml:space="preserve">elektrokol</w:t>
            </w:r>
            <w:r>
              <w:rPr>
                <w:rFonts w:ascii="Verdana" w:hAnsi="Verdana"/>
                <w:sz w:val="18"/>
                <w:szCs w:val="18"/>
              </w:rPr>
              <w:t xml:space="preserve"> pro obecní samosprávu.</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bCs/>
                <w:sz w:val="18"/>
                <w:szCs w:val="18"/>
              </w:rPr>
            </w:pPr>
            <w:r>
              <w:rPr>
                <w:rFonts w:ascii="Verdana" w:hAnsi="Verdana"/>
                <w:b/>
                <w:bCs/>
                <w:sz w:val="18"/>
                <w:szCs w:val="18"/>
              </w:rPr>
              <w:t xml:space="preserve">Odhadovaný finanční náklad max. </w:t>
            </w:r>
            <w:r>
              <w:rPr>
                <w:rFonts w:ascii="Verdana" w:hAnsi="Verdana"/>
                <w:b/>
                <w:bCs/>
                <w:sz w:val="18"/>
                <w:szCs w:val="18"/>
              </w:rPr>
              <w:t xml:space="preserve">XX </w:t>
            </w:r>
            <w:r>
              <w:rPr>
                <w:rFonts w:ascii="Verdana" w:hAnsi="Verdana"/>
                <w:b/>
                <w:bCs/>
                <w:sz w:val="18"/>
                <w:szCs w:val="18"/>
              </w:rPr>
              <w:t xml:space="preserve">mld. Kč</w:t>
            </w:r>
            <w:r>
              <w:rPr>
                <w:rFonts w:ascii="Verdana" w:hAnsi="Verdana"/>
                <w:b/>
                <w:bCs/>
                <w:sz w:val="18"/>
                <w:szCs w:val="18"/>
              </w:rPr>
            </w:r>
            <w:r>
              <w:rPr>
                <w:rFonts w:ascii="Verdana" w:hAnsi="Verdana"/>
                <w:b/>
                <w:bCs/>
                <w:sz w:val="18"/>
                <w:szCs w:val="18"/>
              </w:rPr>
            </w:r>
          </w:p>
          <w:p>
            <w:pPr>
              <w:pBdr/>
              <w:spacing/>
              <w:ind/>
              <w:rPr>
                <w:rFonts w:ascii="Verdana" w:hAnsi="Verdana"/>
                <w:b/>
                <w:bCs/>
                <w:sz w:val="18"/>
                <w:szCs w:val="18"/>
              </w:rPr>
            </w:pPr>
            <w:r>
              <w:rPr>
                <w:rFonts w:ascii="Verdana" w:hAnsi="Verdana"/>
                <w:b/>
                <w:bCs/>
                <w:sz w:val="18"/>
                <w:szCs w:val="18"/>
              </w:rPr>
              <w:t xml:space="preserve">Počítá se v průměru pořízení jednoho </w:t>
            </w:r>
            <w:r>
              <w:rPr>
                <w:rFonts w:ascii="Verdana" w:hAnsi="Verdana"/>
                <w:b/>
                <w:bCs/>
                <w:sz w:val="18"/>
                <w:szCs w:val="18"/>
              </w:rPr>
              <w:t xml:space="preserve">elektrokola</w:t>
            </w:r>
            <w:r>
              <w:rPr>
                <w:rFonts w:ascii="Verdana" w:hAnsi="Verdana"/>
                <w:b/>
                <w:bCs/>
                <w:sz w:val="18"/>
                <w:szCs w:val="18"/>
              </w:rPr>
              <w:t xml:space="preserve"> na obec (cca 6 000 obcí), s cenou jednoho </w:t>
            </w:r>
            <w:r>
              <w:rPr>
                <w:rFonts w:ascii="Verdana" w:hAnsi="Verdana"/>
                <w:b/>
                <w:bCs/>
                <w:sz w:val="18"/>
                <w:szCs w:val="18"/>
              </w:rPr>
              <w:t xml:space="preserve">elektrokola</w:t>
            </w:r>
            <w:r>
              <w:rPr>
                <w:rFonts w:ascii="Verdana" w:hAnsi="Verdana"/>
                <w:b/>
                <w:bCs/>
                <w:sz w:val="18"/>
                <w:szCs w:val="18"/>
              </w:rPr>
              <w:t xml:space="preserve"> včetně dobíjení v hodnotě 50 000Kč odpovídá celkem 300 mil. Kč</w:t>
            </w:r>
            <w:r>
              <w:rPr>
                <w:rFonts w:ascii="Verdana" w:hAnsi="Verdana"/>
                <w:b/>
                <w:bCs/>
                <w:sz w:val="18"/>
                <w:szCs w:val="18"/>
              </w:rPr>
            </w:r>
            <w:r>
              <w:rPr>
                <w:rFonts w:ascii="Verdana" w:hAnsi="Verdana"/>
                <w:b/>
                <w:bCs/>
                <w:sz w:val="18"/>
                <w:szCs w:val="18"/>
              </w:rPr>
            </w:r>
          </w:p>
          <w:p>
            <w:pPr>
              <w:pBdr/>
              <w:spacing/>
              <w:ind/>
              <w:rPr>
                <w:rFonts w:ascii="Verdana" w:hAnsi="Verdana"/>
                <w:b/>
                <w:bCs/>
                <w:sz w:val="18"/>
                <w:szCs w:val="18"/>
              </w:rPr>
            </w:pPr>
            <w:r>
              <w:rPr>
                <w:rFonts w:ascii="Verdana" w:hAnsi="Verdana"/>
                <w:b/>
                <w:bCs/>
                <w:sz w:val="18"/>
                <w:szCs w:val="18"/>
              </w:rPr>
              <w:t xml:space="preserve">Investice by pravděpodobně byla rozložena do více let</w:t>
            </w:r>
            <w:r>
              <w:rPr>
                <w:rFonts w:ascii="Verdana" w:hAnsi="Verdana"/>
                <w:b/>
                <w:bCs/>
                <w:sz w:val="18"/>
                <w:szCs w:val="18"/>
              </w:rPr>
            </w:r>
            <w:r>
              <w:rPr>
                <w:rFonts w:ascii="Verdana" w:hAnsi="Verdana"/>
                <w:b/>
                <w:bCs/>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4, 6, 7, 9, 11,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Sdílená doprava: nákup elektrického vozidla včetně zajištění dobíjecí infrastruktury a technického zázemí </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Nákup elektrického vozidla pro zajištění dopravy pro úroveň obecní samosprávy v oblastech s obtížným zajištěním veřejnou hromadnou dopravou v potřebných standardech pro snadnější dosažení míst dopravní obslužnosti.</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socioekonomických potřeb, cestami do zaměstnání, škol, úřadů odkázání na využívání IAD, usnadnění dosažení míst dopravní obslužnosti. </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Podpora využívání sdílených elektromobilů přispěje k dekarbonizaci dopravy, přičemž tyto dopravní prostředky budou ve srovnání s privátními auty více využívány.</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nákupu sdíleného elektromobilu pro obecní samosprávu.</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bCs/>
                <w:sz w:val="18"/>
                <w:szCs w:val="18"/>
              </w:rPr>
            </w:pPr>
            <w:r>
              <w:rPr>
                <w:rFonts w:ascii="Verdana" w:hAnsi="Verdana"/>
                <w:b/>
                <w:bCs/>
                <w:sz w:val="18"/>
                <w:szCs w:val="18"/>
              </w:rPr>
              <w:t xml:space="preserve">Odhadovaný finanční náklad max. </w:t>
            </w:r>
            <w:r>
              <w:rPr>
                <w:rFonts w:ascii="Verdana" w:hAnsi="Verdana"/>
                <w:b/>
                <w:bCs/>
                <w:sz w:val="18"/>
                <w:szCs w:val="18"/>
              </w:rPr>
              <w:t xml:space="preserve">XX </w:t>
            </w:r>
            <w:r>
              <w:rPr>
                <w:rFonts w:ascii="Verdana" w:hAnsi="Verdana"/>
                <w:b/>
                <w:bCs/>
                <w:sz w:val="18"/>
                <w:szCs w:val="18"/>
              </w:rPr>
              <w:t xml:space="preserve">mld. Kč</w:t>
            </w:r>
            <w:r>
              <w:rPr>
                <w:rFonts w:ascii="Verdana" w:hAnsi="Verdana"/>
                <w:b/>
                <w:bCs/>
                <w:sz w:val="18"/>
                <w:szCs w:val="18"/>
              </w:rPr>
            </w:r>
            <w:r>
              <w:rPr>
                <w:rFonts w:ascii="Verdana" w:hAnsi="Verdana"/>
                <w:b/>
                <w:bCs/>
                <w:sz w:val="18"/>
                <w:szCs w:val="18"/>
              </w:rPr>
            </w:r>
          </w:p>
          <w:p>
            <w:pPr>
              <w:pBdr/>
              <w:spacing/>
              <w:ind/>
              <w:rPr>
                <w:rFonts w:ascii="Verdana" w:hAnsi="Verdana"/>
                <w:b/>
                <w:bCs/>
                <w:sz w:val="18"/>
                <w:szCs w:val="18"/>
              </w:rPr>
            </w:pPr>
            <w:r>
              <w:rPr>
                <w:rFonts w:ascii="Verdana" w:hAnsi="Verdana"/>
                <w:b/>
                <w:bCs/>
                <w:sz w:val="18"/>
                <w:szCs w:val="18"/>
              </w:rPr>
              <w:t xml:space="preserve">Počítá se v průměru pořízení jednoho </w:t>
            </w:r>
            <w:r>
              <w:rPr>
                <w:rFonts w:ascii="Verdana" w:hAnsi="Verdana"/>
                <w:b/>
                <w:bCs/>
                <w:sz w:val="18"/>
                <w:szCs w:val="18"/>
              </w:rPr>
              <w:t xml:space="preserve">elektrokola</w:t>
            </w:r>
            <w:r>
              <w:rPr>
                <w:rFonts w:ascii="Verdana" w:hAnsi="Verdana"/>
                <w:b/>
                <w:bCs/>
                <w:sz w:val="18"/>
                <w:szCs w:val="18"/>
              </w:rPr>
              <w:t xml:space="preserve"> na obec (cca 6 000 obcí), s cenou jednoho </w:t>
            </w:r>
            <w:r>
              <w:rPr>
                <w:rFonts w:ascii="Verdana" w:hAnsi="Verdana"/>
                <w:b/>
                <w:bCs/>
                <w:sz w:val="18"/>
                <w:szCs w:val="18"/>
              </w:rPr>
              <w:t xml:space="preserve">elektrokola</w:t>
            </w:r>
            <w:r>
              <w:rPr>
                <w:rFonts w:ascii="Verdana" w:hAnsi="Verdana"/>
                <w:b/>
                <w:bCs/>
                <w:sz w:val="18"/>
                <w:szCs w:val="18"/>
              </w:rPr>
              <w:t xml:space="preserve"> včetně dobíjení v hodnotě 50 000Kč odpovídá celkem 300 mil. Kč</w:t>
            </w:r>
            <w:r>
              <w:rPr>
                <w:rFonts w:ascii="Verdana" w:hAnsi="Verdana"/>
                <w:b/>
                <w:bCs/>
                <w:sz w:val="18"/>
                <w:szCs w:val="18"/>
              </w:rPr>
            </w:r>
            <w:r>
              <w:rPr>
                <w:rFonts w:ascii="Verdana" w:hAnsi="Verdana"/>
                <w:b/>
                <w:bCs/>
                <w:sz w:val="18"/>
                <w:szCs w:val="18"/>
              </w:rPr>
            </w:r>
          </w:p>
          <w:p>
            <w:pPr>
              <w:pBdr/>
              <w:spacing/>
              <w:ind/>
              <w:rPr>
                <w:rFonts w:ascii="Verdana" w:hAnsi="Verdana"/>
                <w:sz w:val="18"/>
                <w:szCs w:val="18"/>
              </w:rPr>
            </w:pPr>
            <w:r>
              <w:rPr>
                <w:rFonts w:ascii="Verdana" w:hAnsi="Verdana"/>
                <w:b/>
                <w:bCs/>
                <w:sz w:val="18"/>
                <w:szCs w:val="18"/>
              </w:rPr>
              <w:t xml:space="preserve">Investice by pravděpodobně byla rozložena do více let</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4, 9, 11,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1, 8, 9, 11, 13</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Zavedení jízdenky Czech </w:t>
            </w:r>
            <w:r>
              <w:rPr>
                <w:rFonts w:ascii="Verdana" w:hAnsi="Verdana"/>
                <w:b/>
                <w:sz w:val="18"/>
                <w:szCs w:val="18"/>
              </w:rPr>
              <w:t xml:space="preserve">ticket</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Zavedení </w:t>
            </w:r>
            <w:r>
              <w:rPr>
                <w:rFonts w:ascii="Verdana" w:hAnsi="Verdana"/>
                <w:sz w:val="18"/>
                <w:szCs w:val="18"/>
              </w:rPr>
              <w:t xml:space="preserve">celoúzemního</w:t>
            </w:r>
            <w:r>
              <w:rPr>
                <w:rFonts w:ascii="Verdana" w:hAnsi="Verdana"/>
                <w:sz w:val="18"/>
                <w:szCs w:val="18"/>
              </w:rPr>
              <w:t xml:space="preserve"> zvýhodněného cestování veřejnou dopravou</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V současné době v České republice neexistuje možnost zvýhodněného cestování na území celé České republiky za jednotných podmínek za jednotnou cenu přepravy. Systém </w:t>
            </w:r>
            <w:r>
              <w:rPr>
                <w:rFonts w:ascii="Verdana" w:hAnsi="Verdana"/>
                <w:sz w:val="18"/>
                <w:szCs w:val="18"/>
              </w:rPr>
              <w:t xml:space="preserve">ChechTicket</w:t>
            </w:r>
            <w:r>
              <w:rPr>
                <w:rFonts w:ascii="Verdana" w:hAnsi="Verdana"/>
                <w:sz w:val="18"/>
                <w:szCs w:val="18"/>
              </w:rPr>
              <w:t xml:space="preserve"> má ambici navázat na </w:t>
            </w:r>
            <w:r>
              <w:rPr>
                <w:rFonts w:ascii="Verdana" w:hAnsi="Verdana"/>
                <w:sz w:val="18"/>
                <w:szCs w:val="18"/>
              </w:rPr>
              <w:t xml:space="preserve">klimatickety</w:t>
            </w:r>
            <w:r>
              <w:rPr>
                <w:rFonts w:ascii="Verdana" w:hAnsi="Verdana"/>
                <w:sz w:val="18"/>
                <w:szCs w:val="18"/>
              </w:rPr>
              <w:t xml:space="preserve">, které jsou zaváděny napříč jednotlivými evropskými státy. Současně se jeví, jako vhodný podpůrný nástroj pro odstraňování dopravní chudoby, kdy zlevněné jízdní doklady pro dopravně chudé by byly poskytovány právě v rámci Czech </w:t>
            </w:r>
            <w:r>
              <w:rPr>
                <w:rFonts w:ascii="Verdana" w:hAnsi="Verdana"/>
                <w:sz w:val="18"/>
                <w:szCs w:val="18"/>
              </w:rPr>
              <w:t xml:space="preserve">Ticket</w:t>
            </w:r>
            <w:r>
              <w:rPr>
                <w:rFonts w:ascii="Verdana" w:hAnsi="Verdana"/>
                <w:sz w:val="18"/>
                <w:szCs w:val="18"/>
              </w:rPr>
              <w:t xml:space="preserve">. </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Financování návrhu, vývoje a provozu systému Czech </w:t>
            </w:r>
            <w:r>
              <w:rPr>
                <w:rFonts w:ascii="Verdana" w:hAnsi="Verdana"/>
                <w:sz w:val="18"/>
                <w:szCs w:val="18"/>
              </w:rPr>
              <w:t xml:space="preserve">Ticket</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bCs/>
                <w:sz w:val="18"/>
                <w:szCs w:val="18"/>
              </w:rPr>
            </w:pPr>
            <w:r>
              <w:rPr>
                <w:rFonts w:ascii="Verdana" w:hAnsi="Verdana"/>
                <w:b/>
                <w:bCs/>
                <w:sz w:val="18"/>
                <w:szCs w:val="18"/>
              </w:rPr>
              <w:t xml:space="preserve">Odhadovaný finanční náklad max. </w:t>
            </w:r>
            <w:r>
              <w:rPr>
                <w:rFonts w:ascii="Verdana" w:hAnsi="Verdana"/>
                <w:b/>
                <w:bCs/>
                <w:sz w:val="18"/>
                <w:szCs w:val="18"/>
              </w:rPr>
              <w:t xml:space="preserve">0,4 </w:t>
            </w:r>
            <w:r>
              <w:rPr>
                <w:rFonts w:ascii="Verdana" w:hAnsi="Verdana"/>
                <w:b/>
                <w:bCs/>
                <w:sz w:val="18"/>
                <w:szCs w:val="18"/>
              </w:rPr>
              <w:t xml:space="preserve">mld. Kč</w:t>
            </w:r>
            <w:r>
              <w:rPr>
                <w:rFonts w:ascii="Verdana" w:hAnsi="Verdana"/>
                <w:b/>
                <w:bCs/>
                <w:sz w:val="18"/>
                <w:szCs w:val="18"/>
              </w:rPr>
            </w:r>
            <w:r>
              <w:rPr>
                <w:rFonts w:ascii="Verdana" w:hAnsi="Verdana"/>
                <w:b/>
                <w:bCs/>
                <w:sz w:val="18"/>
                <w:szCs w:val="18"/>
              </w:rPr>
            </w:r>
          </w:p>
          <w:p>
            <w:pPr>
              <w:pBdr/>
              <w:spacing/>
              <w:ind/>
              <w:rPr>
                <w:rFonts w:ascii="Verdana" w:hAnsi="Verdana"/>
                <w:sz w:val="18"/>
                <w:szCs w:val="18"/>
              </w:rPr>
            </w:pPr>
            <w:r>
              <w:rPr>
                <w:rFonts w:ascii="Verdana" w:hAnsi="Verdana"/>
                <w:sz w:val="18"/>
                <w:szCs w:val="18"/>
              </w:rPr>
              <w:t xml:space="preserve">Typ nákladu: provozní</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1, 4, 8, 11, 13 </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Pořízení software aplikace pro řízení systému VHD a podpora konceptu </w:t>
            </w:r>
            <w:r>
              <w:rPr>
                <w:rFonts w:ascii="Verdana" w:hAnsi="Verdana"/>
                <w:b/>
                <w:sz w:val="18"/>
                <w:szCs w:val="18"/>
              </w:rPr>
              <w:t xml:space="preserve">MaaS</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Pořízení software nástroje pro řízení systému poptávkové dopravy včetně komunikace s klienty; dispečink systému VHD na úrovni kraje (organizace provozu); vytvoření aplikací </w:t>
            </w:r>
            <w:r>
              <w:rPr>
                <w:rFonts w:ascii="Verdana" w:hAnsi="Verdana"/>
                <w:sz w:val="18"/>
                <w:szCs w:val="18"/>
              </w:rPr>
              <w:t xml:space="preserve">MaaS</w:t>
            </w:r>
            <w:r>
              <w:rPr>
                <w:rFonts w:ascii="Verdana" w:hAnsi="Verdana"/>
                <w:sz w:val="18"/>
                <w:szCs w:val="18"/>
              </w:rPr>
              <w:t xml:space="preserve"> (mobilita jako </w:t>
            </w:r>
            <w:r>
              <w:rPr>
                <w:rFonts w:ascii="Verdana" w:hAnsi="Verdana"/>
                <w:sz w:val="18"/>
                <w:szCs w:val="18"/>
              </w:rPr>
              <w:t xml:space="preserve">služba - včetně</w:t>
            </w:r>
            <w:r>
              <w:rPr>
                <w:rFonts w:ascii="Verdana" w:hAnsi="Verdana"/>
                <w:sz w:val="18"/>
                <w:szCs w:val="18"/>
              </w:rPr>
              <w:t xml:space="preserve"> vazby na sdílené dopravní prostředky)</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Vytvoření organizačního a optimalizačního zázemí pro systém veřejné dopravní obslužnosti</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Organizační a optimalizační platforma pro systém veřejné dopravní obslužnosti</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bCs/>
                <w:sz w:val="18"/>
                <w:szCs w:val="18"/>
              </w:rPr>
            </w:pPr>
            <w:r>
              <w:rPr>
                <w:rFonts w:ascii="Verdana" w:hAnsi="Verdana"/>
                <w:b/>
                <w:bCs/>
                <w:sz w:val="18"/>
                <w:szCs w:val="18"/>
              </w:rPr>
              <w:t xml:space="preserve">Odhadovaný finanční náklad max. </w:t>
            </w:r>
            <w:r>
              <w:rPr>
                <w:rFonts w:ascii="Verdana" w:hAnsi="Verdana"/>
                <w:b/>
                <w:bCs/>
                <w:sz w:val="18"/>
                <w:szCs w:val="18"/>
              </w:rPr>
              <w:t xml:space="preserve">XX </w:t>
            </w:r>
            <w:r>
              <w:rPr>
                <w:rFonts w:ascii="Verdana" w:hAnsi="Verdana"/>
                <w:b/>
                <w:bCs/>
                <w:sz w:val="18"/>
                <w:szCs w:val="18"/>
              </w:rPr>
              <w:t xml:space="preserve">mld. Kč</w:t>
            </w:r>
            <w:r>
              <w:rPr>
                <w:rFonts w:ascii="Verdana" w:hAnsi="Verdana"/>
                <w:b/>
                <w:bCs/>
                <w:sz w:val="18"/>
                <w:szCs w:val="18"/>
              </w:rPr>
            </w:r>
            <w:r>
              <w:rPr>
                <w:rFonts w:ascii="Verdana" w:hAnsi="Verdana"/>
                <w:b/>
                <w:bCs/>
                <w:sz w:val="18"/>
                <w:szCs w:val="18"/>
              </w:rPr>
            </w:r>
          </w:p>
          <w:p>
            <w:pPr>
              <w:pBdr/>
              <w:spacing/>
              <w:ind/>
              <w:rPr>
                <w:rFonts w:ascii="Verdana" w:hAnsi="Verdana"/>
                <w:sz w:val="18"/>
                <w:szCs w:val="18"/>
              </w:rPr>
            </w:pPr>
            <w:r>
              <w:rPr>
                <w:rFonts w:ascii="Verdana" w:hAnsi="Verdana"/>
                <w:sz w:val="18"/>
                <w:szCs w:val="18"/>
              </w:rPr>
              <w:t xml:space="preserve">13 software nástrojů v krajích – 150 mil. Kč</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3, 9, 11, 12,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1, 8, 9, 11, 13</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t xml:space="preserve">MŽP</w:t>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trike/>
                <w:color w:val="ff0000"/>
                <w:sz w:val="18"/>
                <w:szCs w:val="18"/>
              </w:rPr>
            </w:pPr>
            <w:r>
              <w:rPr>
                <w:rFonts w:ascii="Verdana" w:hAnsi="Verdana"/>
                <w:b/>
                <w:sz w:val="18"/>
                <w:szCs w:val="18"/>
              </w:rPr>
              <w:t xml:space="preserve">Poptávková doprava: nákup elektrických </w:t>
            </w:r>
            <w:r>
              <w:rPr>
                <w:rFonts w:ascii="Verdana" w:hAnsi="Verdana"/>
                <w:b/>
                <w:sz w:val="18"/>
                <w:szCs w:val="18"/>
              </w:rPr>
              <w:t xml:space="preserve">minibusů  </w:t>
            </w:r>
            <w:r>
              <w:rPr>
                <w:rFonts w:ascii="Verdana" w:hAnsi="Verdana"/>
                <w:i/>
                <w:sz w:val="16"/>
                <w:szCs w:val="18"/>
              </w:rPr>
              <w:t xml:space="preserve">(</w:t>
            </w:r>
            <w:r>
              <w:rPr>
                <w:rFonts w:ascii="Verdana" w:hAnsi="Verdana"/>
                <w:i/>
                <w:sz w:val="16"/>
                <w:szCs w:val="18"/>
              </w:rPr>
              <w:t xml:space="preserve">vel. 9 osob) </w:t>
            </w:r>
            <w:r>
              <w:rPr>
                <w:rFonts w:ascii="Verdana" w:hAnsi="Verdana"/>
                <w:b/>
                <w:strike/>
                <w:color w:val="ff0000"/>
                <w:sz w:val="18"/>
                <w:szCs w:val="18"/>
              </w:rPr>
            </w:r>
            <w:r>
              <w:rPr>
                <w:rFonts w:ascii="Verdana" w:hAnsi="Verdana"/>
                <w:b/>
                <w:strike/>
                <w:color w:val="ff0000"/>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Nákup elektrických minibusu pro zajištění poptávkové dopravy pro územně samosprávné celky v odlehlých územích ČR</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svých </w:t>
            </w:r>
            <w:r>
              <w:rPr>
                <w:rFonts w:ascii="Verdana" w:hAnsi="Verdana"/>
                <w:sz w:val="18"/>
                <w:szCs w:val="18"/>
              </w:rPr>
              <w:t xml:space="preserve">socio</w:t>
            </w:r>
            <w:r>
              <w:rPr>
                <w:rFonts w:ascii="Verdana" w:hAnsi="Verdana"/>
                <w:sz w:val="18"/>
                <w:szCs w:val="18"/>
              </w:rPr>
              <w:t xml:space="preserve">-ekonomických potřeb často odkázání na IAD. Linková doprava v odlehlých regionech není efektivní: vytíženost spojů je nízká, nedostatečně plánovaná, často s mnoha přestupy</w:t>
            </w:r>
            <w:r>
              <w:rPr>
                <w:rFonts w:ascii="Verdana" w:hAnsi="Verdana"/>
                <w:color w:val="000000" w:themeColor="text1"/>
                <w:sz w:val="18"/>
                <w:szCs w:val="18"/>
              </w:rPr>
              <w:t xml:space="preserve">.</w:t>
            </w:r>
            <w:r>
              <w:rPr>
                <w:rFonts w:ascii="Verdana" w:hAnsi="Verdana"/>
                <w:sz w:val="18"/>
                <w:szCs w:val="18"/>
              </w:rPr>
              <w:t xml:space="preserve"> Provozní náklady dopravců rostou, rovněž tlak na zajištění obslužnosti obcí. V posledních letech se navíc dopravci potýkají s nedostatkem řidičů autobusů. Zároveň je cíl dekarbonizovat dopravu a snížit závislost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Poptávková doprava dokáže efektivně naplánovat cestu v odlehlých regionech, zvýšit čestnost obsluhy území, snížit náklady na provoz veřejné hromadné </w:t>
            </w:r>
            <w:r>
              <w:rPr>
                <w:rFonts w:ascii="Verdana" w:hAnsi="Verdana"/>
                <w:sz w:val="18"/>
                <w:szCs w:val="18"/>
              </w:rPr>
              <w:t xml:space="preserve">dopravy .</w:t>
            </w:r>
            <w:r>
              <w:rPr>
                <w:rFonts w:ascii="Verdana" w:hAnsi="Verdana"/>
                <w:sz w:val="18"/>
                <w:szCs w:val="18"/>
              </w:rPr>
              <w:t xml:space="preserve"> Doprava se pro cestující zatraktivní, navíc je možné zajistit komfortnější a dostupnější dopravní servis pro zranitelné uživatele (nízkopříjmové jedince, seniory, děti, postižení).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nákupu elektrických mikrobusů pro objednatele veřejných služeb (ÚSC/ORP)</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sz w:val="18"/>
                <w:szCs w:val="18"/>
              </w:rPr>
            </w:pPr>
            <w:r>
              <w:rPr>
                <w:rFonts w:ascii="Verdana" w:hAnsi="Verdana"/>
                <w:b/>
                <w:sz w:val="18"/>
                <w:szCs w:val="18"/>
              </w:rPr>
              <w:t xml:space="preserve">Odhad nákladů: 1-2 mld. Kč</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sz w:val="18"/>
                <w:szCs w:val="18"/>
              </w:rPr>
              <w:t xml:space="preserve">(2 mil. Kč/vozidlo, 5-10 ks vozidel na ORP dle vymezení; analýza regionů s omezenou obslužností VHD by měla vymezit a determinovat územní způsobilost investice, nyní předpoklad rozsahu 100 ORP)</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investiční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4, 9, 11,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t xml:space="preserve">EUROPEUM + PĚŠKY MĚSTEM</w:t>
      </w:r>
      <w:r>
        <w:rPr>
          <w:rFonts w:ascii="Verdana" w:hAnsi="Verdana"/>
          <w:b/>
        </w:rPr>
      </w:r>
      <w:r>
        <w:rPr>
          <w:rFonts w:ascii="Verdana" w:hAnsi="Verdana"/>
          <w:b/>
        </w:rPr>
      </w:r>
    </w:p>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Operativní cyklistická doprava: nákup jízdních kol a prostředků tzv. </w:t>
            </w:r>
            <w:r>
              <w:rPr>
                <w:rFonts w:ascii="Verdana" w:hAnsi="Verdana"/>
                <w:b/>
                <w:sz w:val="18"/>
                <w:szCs w:val="18"/>
              </w:rPr>
              <w:t xml:space="preserve">mikromobility</w:t>
            </w:r>
            <w:r>
              <w:rPr>
                <w:rFonts w:ascii="Verdana" w:hAnsi="Verdana"/>
                <w:b/>
                <w:sz w:val="18"/>
                <w:szCs w:val="18"/>
              </w:rPr>
              <w:t xml:space="preserve"> a nákupu dobíjecích bodů spojených s bezpečným uzamčením</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Nákup jízdních kol a prostředků tzv. </w:t>
            </w:r>
            <w:r>
              <w:rPr>
                <w:rFonts w:ascii="Verdana" w:hAnsi="Verdana"/>
                <w:sz w:val="18"/>
                <w:szCs w:val="18"/>
              </w:rPr>
              <w:t xml:space="preserve">mikromobility</w:t>
            </w:r>
            <w:r>
              <w:rPr>
                <w:rFonts w:ascii="Verdana" w:hAnsi="Verdana"/>
                <w:sz w:val="18"/>
                <w:szCs w:val="18"/>
              </w:rPr>
              <w:t xml:space="preserve"> pro zajištění operativní </w:t>
            </w:r>
            <w:r>
              <w:rPr>
                <w:rFonts w:ascii="Verdana" w:hAnsi="Verdana"/>
                <w:sz w:val="18"/>
                <w:szCs w:val="18"/>
              </w:rPr>
              <w:t xml:space="preserve">cyklistické</w:t>
            </w:r>
            <w:r>
              <w:rPr>
                <w:rFonts w:ascii="Verdana" w:hAnsi="Verdana"/>
                <w:sz w:val="18"/>
                <w:szCs w:val="18"/>
              </w:rPr>
              <w:t xml:space="preserve"> dopravy pro územně samosprávné celky v odlehlých územích ČR</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svých </w:t>
            </w:r>
            <w:r>
              <w:rPr>
                <w:rFonts w:ascii="Verdana" w:hAnsi="Verdana"/>
                <w:sz w:val="18"/>
                <w:szCs w:val="18"/>
              </w:rPr>
              <w:t xml:space="preserve">socio</w:t>
            </w:r>
            <w:r>
              <w:rPr>
                <w:rFonts w:ascii="Verdana" w:hAnsi="Verdana"/>
                <w:sz w:val="18"/>
                <w:szCs w:val="18"/>
              </w:rPr>
              <w:t xml:space="preserve">-ekonomických potřeb často odkázání na IAD. Linková doprava v odlehlých regionech není </w:t>
            </w:r>
            <w:r>
              <w:rPr>
                <w:rFonts w:ascii="Verdana" w:hAnsi="Verdana"/>
                <w:sz w:val="18"/>
                <w:szCs w:val="18"/>
              </w:rPr>
              <w:t xml:space="preserve">efektivní: vytíženost spojů je nízká, nedostatečně plánovaná, často s mnoha přestupy, ceny jízdenek kolísají. Provozní náklady dopravců rostou, rovněž tlak na zajištění obslužnosti obcí. Zároveň je cíl dekarbonizovat dopravu a snížit závislost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Operativní cyklistická doprava dokáže efektivně realizovat cestu v odlehlých regionech. Kromě bezpečné cyklistické infrastruktury je třeba nabídnout občanům nabídnout pro sdílení jízdní kola a prostředky tzv. </w:t>
            </w:r>
            <w:r>
              <w:rPr>
                <w:rFonts w:ascii="Verdana" w:hAnsi="Verdana"/>
                <w:sz w:val="18"/>
                <w:szCs w:val="18"/>
              </w:rPr>
              <w:t xml:space="preserve">mikorobility</w:t>
            </w:r>
            <w:r>
              <w:rPr>
                <w:rFonts w:ascii="Verdana" w:hAnsi="Verdana"/>
                <w:sz w:val="18"/>
                <w:szCs w:val="18"/>
              </w:rPr>
              <w:t xml:space="preserve">. </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Příkladem je malá obec Svatý Ján nad Malší v Jihočeském kraji, jako součást regionu MAS Sdružení Růže. Myšlenka je postavena na zakoupení </w:t>
            </w:r>
            <w:r>
              <w:rPr>
                <w:rFonts w:ascii="Verdana" w:hAnsi="Verdana"/>
                <w:sz w:val="18"/>
                <w:szCs w:val="18"/>
              </w:rPr>
              <w:t xml:space="preserve">elektrokol</w:t>
            </w:r>
            <w:r>
              <w:rPr>
                <w:rFonts w:ascii="Verdana" w:hAnsi="Verdana"/>
                <w:sz w:val="18"/>
                <w:szCs w:val="18"/>
              </w:rPr>
              <w:t xml:space="preserve"> pro obyvatele obce, zejména pro lidi postižené chudobou. Cílem je, aby se tito lidé dostali ke svým službám, případně na zastávky veřejné dopravy, odkud jezdí pravidelné spoje. Tím se tak zajistí zvýšení kapacity </w:t>
            </w:r>
            <w:r>
              <w:rPr>
                <w:rFonts w:ascii="Verdana" w:hAnsi="Verdana"/>
                <w:sz w:val="18"/>
                <w:szCs w:val="18"/>
              </w:rPr>
              <w:t xml:space="preserve">přepravených osob, snížit náklady na provoz veřejné hromadné dopravy pro provozovatele VHD a tím i cenu jízdného. Navíc je možné zajistit komfortnější a dostupnější dopravní servis pro zranitelné uživatele (nízkopříjmové jedince, seniory, děti, postižení).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V cíle služeb, včetně bodů napojení na veřejnou dopravu, je nutné zajistit bezpečnou úschovu kola s možností dobíjení </w:t>
            </w:r>
            <w:r>
              <w:rPr>
                <w:rFonts w:ascii="Verdana" w:hAnsi="Verdana"/>
                <w:sz w:val="18"/>
                <w:szCs w:val="18"/>
              </w:rPr>
              <w:t xml:space="preserve">elektrokol</w:t>
            </w:r>
            <w:r>
              <w:rPr>
                <w:rFonts w:ascii="Verdana" w:hAnsi="Verdana"/>
                <w:sz w:val="18"/>
                <w:szCs w:val="18"/>
              </w:rPr>
              <w:t xml:space="preserve">. </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Cs/>
                <w:sz w:val="18"/>
                <w:szCs w:val="18"/>
              </w:rPr>
            </w:pPr>
            <w:r>
              <w:rPr>
                <w:rFonts w:ascii="Verdana" w:hAnsi="Verdana"/>
                <w:sz w:val="18"/>
                <w:szCs w:val="18"/>
              </w:rPr>
              <w:t xml:space="preserve">Zajištění nákupu </w:t>
            </w:r>
            <w:r>
              <w:rPr>
                <w:rFonts w:ascii="Verdana" w:hAnsi="Verdana"/>
                <w:bCs/>
                <w:sz w:val="18"/>
                <w:szCs w:val="18"/>
              </w:rPr>
              <w:t xml:space="preserve">jízdních kol a prostředků tzv. </w:t>
            </w:r>
            <w:r>
              <w:rPr>
                <w:rFonts w:ascii="Verdana" w:hAnsi="Verdana"/>
                <w:bCs/>
                <w:sz w:val="18"/>
                <w:szCs w:val="18"/>
              </w:rPr>
              <w:t xml:space="preserve">mikromobility</w:t>
            </w:r>
            <w:r>
              <w:rPr>
                <w:rFonts w:ascii="Verdana" w:hAnsi="Verdana"/>
                <w:bCs/>
                <w:sz w:val="18"/>
                <w:szCs w:val="18"/>
              </w:rPr>
              <w:t xml:space="preserve"> a nákupu dobíjecích bodů spojených s bezpečným uzamčením</w:t>
            </w:r>
            <w:r>
              <w:rPr>
                <w:rFonts w:ascii="Verdana" w:hAnsi="Verdana"/>
                <w:bCs/>
                <w:sz w:val="18"/>
                <w:szCs w:val="18"/>
              </w:rPr>
              <w:t xml:space="preserve"> </w:t>
            </w:r>
            <w:r>
              <w:rPr>
                <w:rFonts w:ascii="Verdana" w:hAnsi="Verdana"/>
                <w:sz w:val="18"/>
                <w:szCs w:val="18"/>
              </w:rPr>
              <w:t xml:space="preserve">pro ÚSC/ORP</w:t>
            </w:r>
            <w:r>
              <w:rPr>
                <w:rFonts w:ascii="Verdana" w:hAnsi="Verdana"/>
                <w:bCs/>
                <w:sz w:val="18"/>
                <w:szCs w:val="18"/>
              </w:rPr>
            </w:r>
            <w:r>
              <w:rPr>
                <w:rFonts w:ascii="Verdana" w:hAnsi="Verdana"/>
                <w:bCs/>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sz w:val="18"/>
                <w:szCs w:val="18"/>
              </w:rPr>
            </w:pPr>
            <w:r>
              <w:rPr>
                <w:rFonts w:ascii="Verdana" w:hAnsi="Verdana"/>
                <w:b/>
                <w:sz w:val="18"/>
                <w:szCs w:val="18"/>
              </w:rPr>
              <w:t xml:space="preserve">Odhad nákladů: 120 mil. Kč</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sz w:val="18"/>
                <w:szCs w:val="18"/>
              </w:rPr>
              <w:t xml:space="preserve">50 tis. Kč/</w:t>
            </w:r>
            <w:r>
              <w:rPr>
                <w:rFonts w:ascii="Verdana" w:hAnsi="Verdana"/>
                <w:sz w:val="18"/>
                <w:szCs w:val="18"/>
              </w:rPr>
              <w:t xml:space="preserve">elektrokolo</w:t>
            </w:r>
            <w:r>
              <w:rPr>
                <w:rFonts w:ascii="Verdana" w:hAnsi="Verdana"/>
                <w:sz w:val="18"/>
                <w:szCs w:val="18"/>
              </w:rPr>
              <w:t xml:space="preserve"> (nákup 2000 kol – 100 mil. Kč) + 70 tis. Kč dobíjecích bodů s uzamčením (nákup 300 ks – 21 mil. Kč) pro ORP dle vymezení; analýza regionů s omezenou obslužností VHD by měla vymezit a determinovat územní způsobilost investice, nyní předpoklad 100 ORP)</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investiční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6, 7, 11,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Poznámka: má i vazbu na indikátor 9, neboť zakoupená kola by vlastnil úřad (dle návrhu obce </w:t>
            </w:r>
            <w:r>
              <w:rPr>
                <w:rFonts w:ascii="Verdana" w:hAnsi="Verdana"/>
                <w:sz w:val="18"/>
                <w:szCs w:val="18"/>
              </w:rPr>
              <w:t xml:space="preserve">Svatý</w:t>
            </w:r>
            <w:r>
              <w:rPr>
                <w:rFonts w:ascii="Verdana" w:hAnsi="Verdana"/>
                <w:sz w:val="18"/>
                <w:szCs w:val="18"/>
              </w:rPr>
              <w:t xml:space="preserve"> Ján nad Malší) a půjčoval by je svým obyvatelům za předem daných podmínek. </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vMerge w:val="restart"/>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vMerge w:val="restart"/>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4" w:type="dxa"/>
        <w:tblBorders/>
        <w:tblLook w:val="04A0" w:firstRow="1" w:lastRow="0" w:firstColumn="1" w:lastColumn="0" w:noHBand="0" w:noVBand="1"/>
      </w:tblPr>
      <w:tblGrid>
        <w:gridCol w:w="1989"/>
        <w:gridCol w:w="7645"/>
      </w:tblGrid>
      <w:tr>
        <w:trPr>
          <w:trHeight w:val="260"/>
        </w:trPr>
        <w:tc>
          <w:tcPr>
            <w:gridSpan w:val="2"/>
            <w:shd w:val="clear" w:color="auto" w:fill="d5dce4" w:themeFill="text2" w:themeFillTint="33"/>
            <w:tcBorders/>
            <w:tcW w:w="9634" w:type="dxa"/>
            <w:textDirection w:val="lrTb"/>
            <w:noWrap w:val="false"/>
          </w:tcPr>
          <w:p>
            <w:pPr>
              <w:pBdr/>
              <w:spacing/>
              <w:ind/>
              <w:rPr>
                <w:rFonts w:ascii="Verdana" w:hAnsi="Verdana"/>
                <w:b/>
                <w:sz w:val="18"/>
                <w:szCs w:val="18"/>
              </w:rPr>
            </w:pPr>
            <w:r>
              <w:rPr>
                <w:rFonts w:ascii="Verdana" w:hAnsi="Verdana"/>
                <w:b/>
                <w:sz w:val="18"/>
                <w:szCs w:val="18"/>
              </w:rPr>
              <w:t xml:space="preserve">Podpora cyklistické </w:t>
            </w:r>
            <w:r>
              <w:rPr>
                <w:rFonts w:ascii="Verdana" w:hAnsi="Verdana"/>
                <w:b/>
                <w:bCs/>
                <w:sz w:val="18"/>
                <w:szCs w:val="18"/>
              </w:rPr>
              <w:t xml:space="preserve">specializovaná cyklistické infrastruktury</w:t>
            </w:r>
            <w:r>
              <w:rPr>
                <w:rFonts w:ascii="Verdana" w:hAnsi="Verdana"/>
                <w:b/>
                <w:sz w:val="18"/>
                <w:szCs w:val="18"/>
              </w:rPr>
            </w:r>
            <w:r>
              <w:rPr>
                <w:rFonts w:ascii="Verdana" w:hAnsi="Verdana"/>
                <w:b/>
                <w:sz w:val="18"/>
                <w:szCs w:val="18"/>
              </w:rPr>
            </w:r>
          </w:p>
        </w:tc>
      </w:tr>
      <w:tr>
        <w:trPr>
          <w:trHeight w:val="260"/>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t xml:space="preserve">Výstavba specializované cyklistické infrastruktury</w:t>
            </w:r>
            <w:r>
              <w:rPr>
                <w:rFonts w:ascii="Verdana" w:hAnsi="Verdana"/>
                <w:sz w:val="18"/>
                <w:szCs w:val="18"/>
              </w:rPr>
              <w:t xml:space="preserve"> pro zajištění operativní </w:t>
            </w:r>
            <w:r>
              <w:rPr>
                <w:rFonts w:ascii="Verdana" w:hAnsi="Verdana"/>
                <w:sz w:val="18"/>
                <w:szCs w:val="18"/>
              </w:rPr>
              <w:t xml:space="preserve">cyklistické</w:t>
            </w:r>
            <w:r>
              <w:rPr>
                <w:rFonts w:ascii="Verdana" w:hAnsi="Verdana"/>
                <w:sz w:val="18"/>
                <w:szCs w:val="18"/>
              </w:rPr>
              <w:t xml:space="preserve"> dopravy pro územně samosprávné celky v odlehlých územích ČR</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1552"/>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svých </w:t>
            </w:r>
            <w:r>
              <w:rPr>
                <w:rFonts w:ascii="Verdana" w:hAnsi="Verdana"/>
                <w:sz w:val="18"/>
                <w:szCs w:val="18"/>
              </w:rPr>
              <w:t xml:space="preserve">socio</w:t>
            </w:r>
            <w:r>
              <w:rPr>
                <w:rFonts w:ascii="Verdana" w:hAnsi="Verdana"/>
                <w:sz w:val="18"/>
                <w:szCs w:val="18"/>
              </w:rPr>
              <w:t xml:space="preserve">-ekonomických potřeb často odkázání na IAD. Linková doprava v odlehlých regionech není efektivní: vytíženost spojů je nízká, nedostatečně plánovaná, často s mnoha přestupy, </w:t>
            </w:r>
            <w:r>
              <w:rPr>
                <w:rFonts w:ascii="Verdana" w:hAnsi="Verdana"/>
                <w:sz w:val="18"/>
                <w:szCs w:val="18"/>
              </w:rPr>
              <w:t xml:space="preserve">ceny jízdenek kolísají. Provozní náklady dopravců rostou, rovněž tlak na zajištění obslužnosti obcí. Zároveň je cíl dekarbonizovat dopravu a snížit závislost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cstheme="minorHAnsi"/>
                <w:sz w:val="18"/>
                <w:szCs w:val="18"/>
              </w:rPr>
            </w:pPr>
            <w:r>
              <w:rPr>
                <w:rFonts w:ascii="Verdana" w:hAnsi="Verdana"/>
                <w:sz w:val="18"/>
                <w:szCs w:val="18"/>
              </w:rPr>
              <w:t xml:space="preserve">Operativní cyklistická doprava </w:t>
            </w:r>
            <w:r>
              <w:rPr>
                <w:rFonts w:ascii="Verdana" w:hAnsi="Verdana"/>
                <w:sz w:val="18"/>
                <w:szCs w:val="18"/>
              </w:rPr>
              <w:t xml:space="preserve">dokáže efektivně realizovat cestu v odlehlých regionech, a to na obyčejném kole do vzdálenosti až 10 km, na </w:t>
            </w:r>
            <w:r>
              <w:rPr>
                <w:rFonts w:ascii="Verdana" w:hAnsi="Verdana"/>
                <w:sz w:val="18"/>
                <w:szCs w:val="18"/>
              </w:rPr>
              <w:t xml:space="preserve">elektrokole</w:t>
            </w:r>
            <w:r>
              <w:rPr>
                <w:rFonts w:ascii="Verdana" w:hAnsi="Verdana"/>
                <w:sz w:val="18"/>
                <w:szCs w:val="18"/>
              </w:rPr>
              <w:t xml:space="preserve"> až 20 km. Stávající silnice jsou ale často nebezpečné, a tak je potřeba realizovat bezpečnou dopravní síť cyklistickou dopravu. Týká se to zejména výstavby, modernizace a rekonstrukce cyklistických komunikací sloužících k dopravě do zaměstnání, škol, za </w:t>
            </w:r>
            <w:r>
              <w:rPr>
                <w:rFonts w:ascii="Verdana" w:hAnsi="Verdana" w:cstheme="minorHAnsi"/>
                <w:sz w:val="18"/>
                <w:szCs w:val="18"/>
              </w:rPr>
              <w:t xml:space="preserve">služb</w:t>
            </w:r>
            <w:r>
              <w:rPr>
                <w:rFonts w:ascii="Verdana" w:hAnsi="Verdana" w:cstheme="minorHAnsi"/>
                <w:sz w:val="18"/>
                <w:szCs w:val="18"/>
              </w:rPr>
              <w:t xml:space="preserve">ami a k zastávkám veřejné dopravy. Dále se to týká výstavby, modernizace a rekonstrukce cyklistických komunikací na hlavních dopravních cestách cyklistické dopravy v ČR, které jsou definované na mapovém portále Cyklovize2030 - https://mapa.stavbycyklo.cz/.</w:t>
            </w:r>
            <w:r>
              <w:rPr>
                <w:rFonts w:ascii="Verdana" w:hAnsi="Verdana" w:cstheme="minorHAnsi"/>
                <w:sz w:val="18"/>
                <w:szCs w:val="18"/>
              </w:rPr>
            </w:r>
            <w:r>
              <w:rPr>
                <w:rFonts w:ascii="Verdana" w:hAnsi="Verdana" w:cstheme="minorHAnsi"/>
                <w:sz w:val="18"/>
                <w:szCs w:val="18"/>
              </w:rPr>
            </w:r>
          </w:p>
          <w:p>
            <w:pPr>
              <w:pBdr/>
              <w:spacing/>
              <w:ind/>
              <w:rPr>
                <w:rFonts w:ascii="Verdana" w:hAnsi="Verdana" w:cstheme="minorHAnsi"/>
                <w:sz w:val="18"/>
                <w:szCs w:val="18"/>
              </w:rPr>
            </w:pPr>
            <w:r>
              <w:rPr>
                <w:rFonts w:ascii="Verdana" w:hAnsi="Verdana" w:cstheme="minorHAnsi"/>
                <w:sz w:val="18"/>
                <w:szCs w:val="18"/>
              </w:rPr>
              <w:t xml:space="preserve">Cyklistickými komunikace se rozumí</w:t>
            </w:r>
            <w:r>
              <w:rPr>
                <w:rFonts w:ascii="Verdana" w:hAnsi="Verdana" w:cstheme="minorHAnsi"/>
                <w:sz w:val="18"/>
                <w:szCs w:val="18"/>
              </w:rPr>
              <w:t xml:space="preserve">:</w:t>
            </w:r>
            <w:r>
              <w:rPr>
                <w:rFonts w:ascii="Verdana" w:hAnsi="Verdana" w:cstheme="minorHAnsi"/>
                <w:sz w:val="18"/>
                <w:szCs w:val="18"/>
              </w:rPr>
            </w:r>
            <w:r>
              <w:rPr>
                <w:rFonts w:ascii="Verdana" w:hAnsi="Verdana" w:cstheme="minorHAnsi"/>
                <w:sz w:val="18"/>
                <w:szCs w:val="18"/>
              </w:rPr>
            </w:r>
          </w:p>
          <w:p>
            <w:pPr>
              <w:pStyle w:val="886"/>
              <w:numPr>
                <w:ilvl w:val="0"/>
                <w:numId w:val="7"/>
              </w:numPr>
              <w:pBdr/>
              <w:spacing/>
              <w:ind/>
              <w:rPr>
                <w:rFonts w:ascii="Verdana" w:hAnsi="Verdana" w:cstheme="minorHAnsi"/>
                <w:sz w:val="18"/>
                <w:szCs w:val="18"/>
              </w:rPr>
            </w:pPr>
            <w:r>
              <w:rPr>
                <w:rFonts w:ascii="Verdana" w:hAnsi="Verdana" w:cstheme="minorHAnsi"/>
                <w:sz w:val="18"/>
                <w:szCs w:val="18"/>
              </w:rPr>
              <w:t xml:space="preserve">stezka pro cyklisty (s dopravn</w:t>
            </w:r>
            <w:r>
              <w:rPr>
                <w:rFonts w:ascii="Verdana" w:hAnsi="Verdana" w:cstheme="minorHAnsi"/>
                <w:sz w:val="18"/>
                <w:szCs w:val="18"/>
              </w:rPr>
              <w:t xml:space="preserve">ím značením C8a/C8b), stezka pro chodce a cyklisty se společným provozem (s dopravním značením C9a/C9b), stezka pro chodce a cyklisty s odděleným provozem (s dopravním značením C10a/C10b) umístěná samostatně nebo v přidruženém prostoru pozemní komunikace, </w:t>
            </w:r>
            <w:r>
              <w:rPr>
                <w:rFonts w:ascii="Verdana" w:hAnsi="Verdana" w:cstheme="minorHAnsi"/>
                <w:sz w:val="18"/>
                <w:szCs w:val="18"/>
              </w:rPr>
              <w:t xml:space="preserve">stezka pro chodce, s dodatkovou tabulkou vjezd cyklistům povolen (s dopravním označením C7a/C7b, s dodatkovou tabulkou), </w:t>
            </w:r>
            <w:r>
              <w:rPr>
                <w:rFonts w:ascii="Verdana" w:hAnsi="Verdana" w:cstheme="minorHAnsi"/>
                <w:sz w:val="18"/>
                <w:szCs w:val="18"/>
              </w:rPr>
              <w:t xml:space="preserve">cyklistická zóna s dopravním značením IZ9a/IZ9b (souhrnné označení „stezka“);</w:t>
            </w:r>
            <w:r>
              <w:rPr>
                <w:rFonts w:ascii="Verdana" w:hAnsi="Verdana" w:cstheme="minorHAnsi"/>
                <w:sz w:val="18"/>
                <w:szCs w:val="18"/>
              </w:rPr>
            </w:r>
            <w:r>
              <w:rPr>
                <w:rFonts w:ascii="Verdana" w:hAnsi="Verdana" w:cstheme="minorHAnsi"/>
                <w:sz w:val="18"/>
                <w:szCs w:val="18"/>
              </w:rPr>
            </w:r>
          </w:p>
          <w:p>
            <w:pPr>
              <w:pStyle w:val="886"/>
              <w:numPr>
                <w:ilvl w:val="0"/>
                <w:numId w:val="7"/>
              </w:numPr>
              <w:pBdr/>
              <w:spacing w:after="120" w:before="120" w:line="271" w:lineRule="auto"/>
              <w:ind/>
              <w:jc w:val="both"/>
              <w:rPr>
                <w:rFonts w:ascii="Verdana" w:hAnsi="Verdana" w:cstheme="minorHAnsi"/>
                <w:sz w:val="18"/>
                <w:szCs w:val="18"/>
              </w:rPr>
            </w:pPr>
            <w:r>
              <w:rPr>
                <w:rFonts w:ascii="Verdana" w:hAnsi="Verdana" w:cstheme="minorHAnsi"/>
                <w:sz w:val="18"/>
                <w:szCs w:val="18"/>
              </w:rPr>
              <w:t xml:space="preserve">vyhrazený jízdní pruh pro cyklisty (s dopravním značením IP20a/IP20b), samostatný jednosměrný cyklistický pás, ochranný jízdní pruh pro cyklisty, piktogramový koridor pro cyklisty nebo vyhrazený jízdní pruh pro </w:t>
            </w:r>
            <w:r>
              <w:rPr>
                <w:rFonts w:ascii="Verdana" w:hAnsi="Verdana" w:cstheme="minorHAnsi"/>
                <w:sz w:val="18"/>
                <w:szCs w:val="18"/>
              </w:rPr>
              <w:t xml:space="preserve">vozidla veřejné dopravy a jízdní kola (s</w:t>
            </w:r>
            <w:r>
              <w:rPr>
                <w:rFonts w:ascii="Verdana" w:hAnsi="Verdana" w:cstheme="minorHAnsi"/>
                <w:sz w:val="18"/>
                <w:szCs w:val="18"/>
              </w:rPr>
              <w:t xml:space="preserve"> </w:t>
            </w:r>
            <w:r>
              <w:rPr>
                <w:rFonts w:ascii="Verdana" w:hAnsi="Verdana" w:cstheme="minorHAnsi"/>
                <w:sz w:val="18"/>
                <w:szCs w:val="18"/>
              </w:rPr>
              <w:t xml:space="preserve">dopravním značením IP20a/IP20b) umístěný v hlavním dopravním prostoru pozemní komunikace (souhrnné označení „liniové opatření“).</w:t>
            </w:r>
            <w:r>
              <w:rPr>
                <w:rFonts w:ascii="Verdana" w:hAnsi="Verdana" w:cstheme="minorHAnsi"/>
                <w:sz w:val="18"/>
                <w:szCs w:val="18"/>
              </w:rPr>
            </w:r>
            <w:r>
              <w:rPr>
                <w:rFonts w:ascii="Verdana" w:hAnsi="Verdana" w:cstheme="minorHAnsi"/>
                <w:sz w:val="18"/>
                <w:szCs w:val="18"/>
              </w:rPr>
            </w:r>
          </w:p>
          <w:p>
            <w:pPr>
              <w:pStyle w:val="886"/>
              <w:numPr>
                <w:ilvl w:val="0"/>
                <w:numId w:val="7"/>
              </w:numPr>
              <w:pBdr/>
              <w:spacing w:after="120" w:before="120" w:line="271" w:lineRule="auto"/>
              <w:ind/>
              <w:jc w:val="both"/>
              <w:rPr>
                <w:rFonts w:ascii="Verdana" w:hAnsi="Verdana" w:cstheme="minorHAnsi"/>
                <w:sz w:val="18"/>
                <w:szCs w:val="18"/>
              </w:rPr>
            </w:pPr>
            <w:r>
              <w:rPr>
                <w:rFonts w:ascii="Verdana" w:hAnsi="Verdana" w:cstheme="minorHAnsi"/>
                <w:sz w:val="18"/>
                <w:szCs w:val="18"/>
              </w:rPr>
              <w:t xml:space="preserve">V koridoru hlavních dopravních cest pro cyklisty i komunikací s dopravním značením B11a/B11b, které jsou často vedené po polních a lesních cestách.</w:t>
            </w:r>
            <w:r>
              <w:rPr>
                <w:rFonts w:ascii="Verdana" w:hAnsi="Verdana" w:cstheme="minorHAnsi"/>
                <w:sz w:val="18"/>
                <w:szCs w:val="18"/>
              </w:rPr>
            </w:r>
            <w:r>
              <w:rPr>
                <w:rFonts w:ascii="Verdana" w:hAnsi="Verdana" w:cstheme="minorHAnsi"/>
                <w:sz w:val="18"/>
                <w:szCs w:val="18"/>
              </w:rPr>
            </w:r>
          </w:p>
          <w:p>
            <w:pPr>
              <w:pBdr/>
              <w:spacing w:after="120" w:before="120" w:line="271" w:lineRule="auto"/>
              <w:ind/>
              <w:jc w:val="both"/>
              <w:rPr>
                <w:rFonts w:ascii="Verdana" w:hAnsi="Verdana" w:cstheme="minorHAnsi"/>
                <w:sz w:val="18"/>
                <w:szCs w:val="18"/>
              </w:rPr>
            </w:pPr>
            <w:r>
              <w:rPr>
                <w:rFonts w:ascii="Verdana" w:hAnsi="Verdana" w:cstheme="minorHAnsi"/>
                <w:sz w:val="18"/>
                <w:szCs w:val="18"/>
              </w:rPr>
            </w:r>
            <w:r>
              <w:rPr>
                <w:rFonts w:ascii="Verdana" w:hAnsi="Verdana" w:cstheme="minorHAnsi"/>
                <w:sz w:val="18"/>
                <w:szCs w:val="18"/>
              </w:rPr>
            </w:r>
            <w:r>
              <w:rPr>
                <w:rFonts w:ascii="Verdana" w:hAnsi="Verdana" w:cstheme="minorHAnsi"/>
                <w:sz w:val="18"/>
                <w:szCs w:val="18"/>
              </w:rPr>
            </w:r>
          </w:p>
        </w:tc>
      </w:tr>
      <w:tr>
        <w:trPr>
          <w:trHeight w:val="260"/>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50"/>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b/>
                <w:sz w:val="18"/>
                <w:szCs w:val="18"/>
              </w:rPr>
            </w:pPr>
            <w:r>
              <w:rPr>
                <w:rFonts w:ascii="Verdana" w:hAnsi="Verdana"/>
                <w:b/>
                <w:sz w:val="18"/>
                <w:szCs w:val="18"/>
              </w:rPr>
              <w:t xml:space="preserve">Odhad nákladů: 5 miliard Kč</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sz w:val="18"/>
                <w:szCs w:val="18"/>
              </w:rPr>
              <w:t xml:space="preserve">Pro období </w:t>
            </w:r>
            <w:r>
              <w:rPr>
                <w:rFonts w:ascii="Verdana" w:hAnsi="Verdana"/>
                <w:sz w:val="18"/>
                <w:szCs w:val="18"/>
              </w:rPr>
              <w:t xml:space="preserve">2021 – 2027</w:t>
            </w:r>
            <w:r>
              <w:rPr>
                <w:rFonts w:ascii="Verdana" w:hAnsi="Verdana"/>
                <w:sz w:val="18"/>
                <w:szCs w:val="18"/>
              </w:rPr>
              <w:t xml:space="preserve"> bylo alokováno v rámci IROP na cyklistickou dopravu 4,7 miliardy. V roce 2024 je de facto tato alokace vyčerpána. Z toho pak plyne odhad nákladů pro další období.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investiční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t xml:space="preserve">1, 10, 11,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4" w:type="dxa"/>
        <w:tblBorders/>
        <w:tblLook w:val="04A0" w:firstRow="1" w:lastRow="0" w:firstColumn="1" w:lastColumn="0" w:noHBand="0" w:noVBand="1"/>
      </w:tblPr>
      <w:tblGrid>
        <w:gridCol w:w="1989"/>
        <w:gridCol w:w="7645"/>
      </w:tblGrid>
      <w:tr>
        <w:trPr>
          <w:trHeight w:val="260"/>
        </w:trPr>
        <w:tc>
          <w:tcPr>
            <w:gridSpan w:val="2"/>
            <w:shd w:val="clear" w:color="auto" w:fill="d5dce4" w:themeFill="text2" w:themeFillTint="33"/>
            <w:tcBorders/>
            <w:tcW w:w="9634" w:type="dxa"/>
            <w:textDirection w:val="lrTb"/>
            <w:noWrap w:val="false"/>
          </w:tcPr>
          <w:p>
            <w:pPr>
              <w:pBdr/>
              <w:spacing/>
              <w:ind/>
              <w:rPr>
                <w:rFonts w:ascii="Verdana" w:hAnsi="Verdana"/>
                <w:b/>
                <w:sz w:val="18"/>
                <w:szCs w:val="18"/>
              </w:rPr>
            </w:pPr>
            <w:r>
              <w:rPr>
                <w:rFonts w:ascii="Verdana" w:hAnsi="Verdana"/>
                <w:b/>
                <w:sz w:val="18"/>
                <w:szCs w:val="18"/>
              </w:rPr>
              <w:t xml:space="preserve">Podpora další sdílené mobility a mobility na </w:t>
            </w:r>
            <w:r>
              <w:rPr>
                <w:rFonts w:ascii="Verdana" w:hAnsi="Verdana"/>
                <w:b/>
                <w:sz w:val="18"/>
                <w:szCs w:val="18"/>
              </w:rPr>
              <w:t xml:space="preserve">vyžádání, </w:t>
            </w:r>
            <w:r>
              <w:rPr>
                <w:rFonts w:ascii="Verdana" w:hAnsi="Verdana"/>
                <w:b/>
                <w:sz w:val="18"/>
                <w:szCs w:val="18"/>
              </w:rPr>
              <w:t xml:space="preserve">včetně </w:t>
            </w:r>
            <w:r>
              <w:rPr>
                <w:rFonts w:ascii="Verdana" w:hAnsi="Verdana"/>
                <w:b/>
                <w:sz w:val="18"/>
                <w:szCs w:val="18"/>
              </w:rPr>
              <w:t xml:space="preserve">financován</w:t>
            </w:r>
            <w:r>
              <w:rPr>
                <w:rFonts w:ascii="Verdana" w:hAnsi="Verdana"/>
                <w:b/>
                <w:sz w:val="18"/>
                <w:szCs w:val="18"/>
              </w:rPr>
              <w:t xml:space="preserve">í</w:t>
            </w:r>
            <w:r>
              <w:rPr>
                <w:rFonts w:ascii="Verdana" w:hAnsi="Verdana"/>
                <w:b/>
                <w:sz w:val="18"/>
                <w:szCs w:val="18"/>
              </w:rPr>
              <w:t xml:space="preserve"> podpůrn</w:t>
            </w:r>
            <w:r>
              <w:rPr>
                <w:rFonts w:ascii="Verdana" w:hAnsi="Verdana"/>
                <w:b/>
                <w:sz w:val="18"/>
                <w:szCs w:val="18"/>
              </w:rPr>
              <w:t xml:space="preserve">ých</w:t>
            </w:r>
            <w:r>
              <w:rPr>
                <w:rFonts w:ascii="Verdana" w:hAnsi="Verdana"/>
                <w:b/>
                <w:sz w:val="18"/>
                <w:szCs w:val="18"/>
              </w:rPr>
              <w:t xml:space="preserve"> služ</w:t>
            </w:r>
            <w:r>
              <w:rPr>
                <w:rFonts w:ascii="Verdana" w:hAnsi="Verdana"/>
                <w:b/>
                <w:sz w:val="18"/>
                <w:szCs w:val="18"/>
              </w:rPr>
              <w:t xml:space="preserve">eb</w:t>
            </w:r>
            <w:r>
              <w:rPr>
                <w:rFonts w:ascii="Verdana" w:hAnsi="Verdana"/>
                <w:b/>
                <w:sz w:val="18"/>
                <w:szCs w:val="18"/>
              </w:rPr>
            </w:r>
            <w:r>
              <w:rPr>
                <w:rFonts w:ascii="Verdana" w:hAnsi="Verdana"/>
                <w:b/>
                <w:sz w:val="18"/>
                <w:szCs w:val="18"/>
              </w:rPr>
            </w:r>
          </w:p>
        </w:tc>
      </w:tr>
      <w:tr>
        <w:trPr>
          <w:trHeight w:val="260"/>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t xml:space="preserve">Realizace opatření na podporu s</w:t>
            </w:r>
            <w:r>
              <w:rPr>
                <w:rFonts w:ascii="Verdana" w:hAnsi="Verdana"/>
                <w:bCs/>
                <w:sz w:val="18"/>
                <w:szCs w:val="18"/>
              </w:rPr>
              <w:t xml:space="preserve">dílené mobility a mobility na vyžádání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1552"/>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svých </w:t>
            </w:r>
            <w:r>
              <w:rPr>
                <w:rFonts w:ascii="Verdana" w:hAnsi="Verdana"/>
                <w:sz w:val="18"/>
                <w:szCs w:val="18"/>
              </w:rPr>
              <w:t xml:space="preserve">socio</w:t>
            </w:r>
            <w:r>
              <w:rPr>
                <w:rFonts w:ascii="Verdana" w:hAnsi="Verdana"/>
                <w:sz w:val="18"/>
                <w:szCs w:val="18"/>
              </w:rPr>
              <w:t xml:space="preserve">-ekonomických potřeb často odkázání na IAD. Linková doprava v odlehlých regionech není </w:t>
            </w:r>
            <w:r>
              <w:rPr>
                <w:rFonts w:ascii="Verdana" w:hAnsi="Verdana"/>
                <w:sz w:val="18"/>
                <w:szCs w:val="18"/>
              </w:rPr>
              <w:t xml:space="preserve">efektivní: vytíženost spojů je nízká, nedostatečně plánovaná, často s mnoha přestupy, ceny jízdenek kolísají. Provozní náklady dopravců rostou, rovněž tlak na zajištění obslužnosti obcí. Zároveň je cíl dekarbonizovat dopravu a snížit závislost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cstheme="minorHAnsi"/>
                <w:sz w:val="18"/>
                <w:szCs w:val="18"/>
              </w:rPr>
            </w:pPr>
            <w:r>
              <w:rPr>
                <w:rFonts w:ascii="Verdana" w:hAnsi="Verdana"/>
                <w:sz w:val="18"/>
                <w:szCs w:val="18"/>
              </w:rPr>
              <w:t xml:space="preserve">Problém se dá řešit prostřednictvím sdílené mobility, která </w:t>
            </w:r>
            <w:r>
              <w:rPr>
                <w:rFonts w:ascii="Verdana" w:hAnsi="Verdana" w:cstheme="minorHAnsi"/>
                <w:sz w:val="18"/>
                <w:szCs w:val="18"/>
              </w:rPr>
              <w:t xml:space="preserve">umožňuje být mobilní každému, kdo nemá vlastní automobil.  </w:t>
            </w:r>
            <w:r>
              <w:rPr>
                <w:rStyle w:val="899"/>
                <w:rFonts w:ascii="Verdana" w:hAnsi="Verdana" w:cstheme="minorHAnsi"/>
                <w:sz w:val="18"/>
                <w:szCs w:val="18"/>
              </w:rPr>
              <w:t xml:space="preserve">Klíčovou myšlenkou tohoto konceptu je „užívej, nevlastni“.</w:t>
            </w:r>
            <w:r>
              <w:rPr>
                <w:rFonts w:ascii="Verdana" w:hAnsi="Verdana" w:cstheme="minorHAnsi"/>
                <w:sz w:val="18"/>
                <w:szCs w:val="18"/>
              </w:rPr>
              <w:t xml:space="preserve"> Do sdílené mobility lze zařadit </w:t>
            </w:r>
            <w:r>
              <w:rPr>
                <w:rStyle w:val="899"/>
                <w:rFonts w:ascii="Verdana" w:hAnsi="Verdana" w:cstheme="minorHAnsi"/>
                <w:sz w:val="18"/>
                <w:szCs w:val="18"/>
              </w:rPr>
              <w:t xml:space="preserve">veřejné systémy sdílených jízdních kol, sdílených </w:t>
            </w:r>
            <w:r>
              <w:rPr>
                <w:rStyle w:val="899"/>
                <w:rFonts w:ascii="Verdana" w:hAnsi="Verdana" w:cstheme="minorHAnsi"/>
                <w:sz w:val="18"/>
                <w:szCs w:val="18"/>
              </w:rPr>
              <w:t xml:space="preserve">elektrokoloběžek</w:t>
            </w:r>
            <w:r>
              <w:rPr>
                <w:rStyle w:val="899"/>
                <w:rFonts w:ascii="Verdana" w:hAnsi="Verdana" w:cstheme="minorHAnsi"/>
                <w:sz w:val="18"/>
                <w:szCs w:val="18"/>
              </w:rPr>
              <w:t xml:space="preserve"> a elektrických mopedů, sdílených aut včetně elektromobilů, sdílené jízdy nebo sdílená nákladní doprava.</w:t>
            </w:r>
            <w:r>
              <w:rPr>
                <w:rFonts w:ascii="Verdana" w:hAnsi="Verdana" w:cstheme="minorHAnsi"/>
                <w:sz w:val="18"/>
                <w:szCs w:val="18"/>
              </w:rPr>
              <w:t xml:space="preserve"> Nové nabídky v oblasti m</w:t>
            </w:r>
            <w:r>
              <w:rPr>
                <w:rFonts w:ascii="Verdana" w:hAnsi="Verdana" w:cstheme="minorHAnsi"/>
                <w:sz w:val="18"/>
                <w:szCs w:val="18"/>
              </w:rPr>
              <w:t xml:space="preserve">obility jsou především v kombinaci s veřejnou dopravou skvělým řešením pro první a poslední kilometr, což některé z uživatelských skupin mohou využít zejména pro intermodální řetězení cest. Kromě toho mohou být také vhodným doplňkem služeb veřejné dopravy </w:t>
            </w:r>
            <w:r>
              <w:rPr>
                <w:rStyle w:val="899"/>
                <w:rFonts w:ascii="Verdana" w:hAnsi="Verdana" w:cstheme="minorHAnsi"/>
                <w:sz w:val="18"/>
                <w:szCs w:val="18"/>
              </w:rPr>
              <w:t xml:space="preserve">v časech mimo dopravní špičku</w:t>
            </w:r>
            <w:r>
              <w:rPr>
                <w:rFonts w:ascii="Verdana" w:hAnsi="Verdana" w:cstheme="minorHAnsi"/>
                <w:sz w:val="18"/>
                <w:szCs w:val="18"/>
              </w:rPr>
              <w:t xml:space="preserve">, nebo naopak opatřením, které veřejné dopravě </w:t>
            </w:r>
            <w:r>
              <w:rPr>
                <w:rStyle w:val="899"/>
                <w:rFonts w:ascii="Verdana" w:hAnsi="Verdana" w:cstheme="minorHAnsi"/>
                <w:sz w:val="18"/>
                <w:szCs w:val="18"/>
              </w:rPr>
              <w:t xml:space="preserve">uleví v dobách dopravní špičky</w:t>
            </w:r>
            <w:r>
              <w:rPr>
                <w:rFonts w:ascii="Verdana" w:hAnsi="Verdana" w:cstheme="minorHAnsi"/>
                <w:sz w:val="18"/>
                <w:szCs w:val="18"/>
              </w:rPr>
              <w:t xml:space="preserve">. Využití různých způsobů dopravy v rámci různých cestovních řetězců motivuje k </w:t>
            </w:r>
            <w:r>
              <w:rPr>
                <w:rFonts w:ascii="Verdana" w:hAnsi="Verdana" w:cstheme="minorHAnsi"/>
                <w:sz w:val="18"/>
                <w:szCs w:val="18"/>
              </w:rPr>
              <w:t xml:space="preserve">multimodalitě</w:t>
            </w:r>
            <w:r>
              <w:rPr>
                <w:rFonts w:ascii="Verdana" w:hAnsi="Verdana" w:cstheme="minorHAnsi"/>
                <w:sz w:val="18"/>
                <w:szCs w:val="18"/>
              </w:rPr>
              <w:t xml:space="preserve"> v dopravě, která je prevencí před „nutkáním“ vlastnit automobil. </w:t>
            </w:r>
            <w:r>
              <w:rPr>
                <w:rStyle w:val="899"/>
                <w:rFonts w:ascii="Verdana" w:hAnsi="Verdana" w:cstheme="minorHAnsi"/>
                <w:sz w:val="18"/>
                <w:szCs w:val="18"/>
              </w:rPr>
              <w:t xml:space="preserve">Tato koncepce by měla oslovovat především mladší obyvatele městských oblastí s většími zkušenostmi v online prostoru. Jde o cílovou skupinu, která bude formovat budoucí poptávku v oblasti dopravy.</w:t>
            </w:r>
            <w:r>
              <w:rPr>
                <w:rFonts w:ascii="Verdana" w:hAnsi="Verdana" w:cstheme="minorHAnsi"/>
                <w:sz w:val="18"/>
                <w:szCs w:val="18"/>
              </w:rPr>
              <w:t xml:space="preserve"> </w:t>
            </w:r>
            <w:r>
              <w:rPr>
                <w:rFonts w:ascii="Verdana" w:hAnsi="Verdana" w:cstheme="minorHAnsi"/>
                <w:sz w:val="18"/>
                <w:szCs w:val="18"/>
              </w:rPr>
            </w:r>
            <w:r>
              <w:rPr>
                <w:rFonts w:ascii="Verdana" w:hAnsi="Verdana" w:cstheme="minorHAnsi"/>
                <w:sz w:val="18"/>
                <w:szCs w:val="18"/>
              </w:rPr>
            </w:r>
          </w:p>
          <w:p>
            <w:pPr>
              <w:pBdr/>
              <w:spacing/>
              <w:ind/>
              <w:rPr>
                <w:rFonts w:ascii="Verdana" w:hAnsi="Verdana" w:cstheme="minorHAnsi"/>
                <w:sz w:val="18"/>
                <w:szCs w:val="18"/>
              </w:rPr>
            </w:pPr>
            <w:r>
              <w:rPr>
                <w:rFonts w:ascii="Verdana" w:hAnsi="Verdana" w:cstheme="minorHAnsi"/>
                <w:sz w:val="18"/>
                <w:szCs w:val="18"/>
              </w:rPr>
            </w:r>
            <w:r>
              <w:rPr>
                <w:rFonts w:ascii="Verdana" w:hAnsi="Verdana" w:cstheme="minorHAnsi"/>
                <w:sz w:val="18"/>
                <w:szCs w:val="18"/>
              </w:rPr>
            </w:r>
            <w:r>
              <w:rPr>
                <w:rFonts w:ascii="Verdana" w:hAnsi="Verdana" w:cstheme="minorHAnsi"/>
                <w:sz w:val="18"/>
                <w:szCs w:val="18"/>
              </w:rPr>
            </w:r>
          </w:p>
          <w:p>
            <w:pPr>
              <w:pBdr/>
              <w:spacing/>
              <w:ind/>
              <w:rPr>
                <w:rFonts w:ascii="Verdana" w:hAnsi="Verdana"/>
                <w:b/>
                <w:bCs/>
                <w:sz w:val="18"/>
                <w:szCs w:val="18"/>
              </w:rPr>
            </w:pPr>
            <w:r>
              <w:rPr>
                <w:rFonts w:ascii="Verdana" w:hAnsi="Verdana"/>
                <w:b/>
                <w:bCs/>
                <w:sz w:val="18"/>
                <w:szCs w:val="18"/>
              </w:rPr>
              <w:t xml:space="preserve">Typy podporované sdílené mobility:</w:t>
            </w:r>
            <w:r>
              <w:rPr>
                <w:rFonts w:ascii="Verdana" w:hAnsi="Verdana"/>
                <w:b/>
                <w:bCs/>
                <w:sz w:val="18"/>
                <w:szCs w:val="18"/>
              </w:rPr>
            </w:r>
            <w:r>
              <w:rPr>
                <w:rFonts w:ascii="Verdana" w:hAnsi="Verdana"/>
                <w:b/>
                <w:bCs/>
                <w:sz w:val="18"/>
                <w:szCs w:val="18"/>
              </w:rPr>
            </w:r>
          </w:p>
          <w:p>
            <w:pPr>
              <w:pStyle w:val="886"/>
              <w:numPr>
                <w:ilvl w:val="0"/>
                <w:numId w:val="8"/>
              </w:numPr>
              <w:pBdr/>
              <w:spacing/>
              <w:ind/>
              <w:rPr>
                <w:rFonts w:ascii="Verdana" w:hAnsi="Verdana" w:cs="Calibri-Bold"/>
                <w:b/>
                <w:bCs/>
                <w:sz w:val="18"/>
                <w:szCs w:val="18"/>
              </w:rPr>
            </w:pPr>
            <w:r>
              <w:rPr>
                <w:rFonts w:ascii="Verdana" w:hAnsi="Verdana" w:cs="Calibri-Bold"/>
                <w:b/>
                <w:bCs/>
                <w:sz w:val="18"/>
                <w:szCs w:val="18"/>
              </w:rPr>
              <w:t xml:space="preserve">Flexibilní dopravní služby</w:t>
            </w:r>
            <w:r>
              <w:rPr>
                <w:rFonts w:ascii="Verdana" w:hAnsi="Verdana" w:cs="Calibri-Bold"/>
                <w:b/>
                <w:bCs/>
                <w:sz w:val="18"/>
                <w:szCs w:val="18"/>
              </w:rPr>
              <w:t xml:space="preserve"> </w:t>
            </w:r>
            <w:r>
              <w:rPr>
                <w:rFonts w:ascii="Verdana" w:hAnsi="Verdana" w:cs="Calibri"/>
                <w:sz w:val="18"/>
                <w:szCs w:val="18"/>
              </w:rPr>
              <w:t xml:space="preserve">funguj</w:t>
            </w:r>
            <w:r>
              <w:rPr>
                <w:rFonts w:ascii="Verdana" w:hAnsi="Verdana" w:cs="Calibri"/>
                <w:sz w:val="18"/>
                <w:szCs w:val="18"/>
              </w:rPr>
              <w:t xml:space="preserve">í podle konkrétních potřeb pasažérů. Jde v podstatě o řadu přechodných dopravních řešení, která pokrývají široký prostor mezi taxislužbou a veřejnou dopravou. Služby jsou například atraktivnější, zejména pro mladé lidi, také díky možnosti objednat si cestu</w:t>
            </w:r>
            <w:r>
              <w:rPr>
                <w:rFonts w:ascii="Verdana" w:hAnsi="Verdana" w:cs="Calibri"/>
                <w:sz w:val="18"/>
                <w:szCs w:val="18"/>
              </w:rPr>
              <w:t xml:space="preserve"> </w:t>
            </w:r>
            <w:r>
              <w:rPr>
                <w:rFonts w:ascii="Verdana" w:hAnsi="Verdana" w:cs="Calibri"/>
                <w:sz w:val="18"/>
                <w:szCs w:val="18"/>
              </w:rPr>
              <w:t xml:space="preserve">prostřednictvím mobilní aplikace. A rezervaci lze provést až 10 nebo 15 minut předem.</w:t>
            </w:r>
            <w:r>
              <w:rPr>
                <w:rFonts w:ascii="Verdana" w:hAnsi="Verdana" w:cs="Calibri-Bold"/>
                <w:b/>
                <w:bCs/>
                <w:sz w:val="18"/>
                <w:szCs w:val="18"/>
              </w:rPr>
            </w:r>
            <w:r>
              <w:rPr>
                <w:rFonts w:ascii="Verdana" w:hAnsi="Verdana" w:cs="Calibri-Bold"/>
                <w:b/>
                <w:bCs/>
                <w:sz w:val="18"/>
                <w:szCs w:val="18"/>
              </w:rPr>
            </w:r>
          </w:p>
          <w:p>
            <w:pPr>
              <w:pStyle w:val="886"/>
              <w:numPr>
                <w:ilvl w:val="0"/>
                <w:numId w:val="8"/>
              </w:numPr>
              <w:pBdr/>
              <w:spacing/>
              <w:ind/>
              <w:rPr>
                <w:rFonts w:ascii="Verdana" w:hAnsi="Verdana" w:cs="Calibri-Bold"/>
                <w:b/>
                <w:bCs/>
                <w:sz w:val="18"/>
                <w:szCs w:val="18"/>
              </w:rPr>
            </w:pPr>
            <w:r>
              <w:rPr>
                <w:rFonts w:ascii="Verdana" w:hAnsi="Verdana" w:cs="Calibri-Bold"/>
                <w:b/>
                <w:bCs/>
                <w:sz w:val="18"/>
                <w:szCs w:val="18"/>
              </w:rPr>
              <w:t xml:space="preserve">Sdílené jízdy. </w:t>
            </w:r>
            <w:r>
              <w:rPr>
                <w:rFonts w:ascii="Verdana" w:hAnsi="Verdana" w:cs="Calibri"/>
                <w:sz w:val="18"/>
                <w:szCs w:val="18"/>
              </w:rPr>
              <w:t xml:space="preserve">Služby sdílení jízd zahrnují řadu služeb, které umožňují sdružovat poptávku po mobilitě za účelem sdílení jízdy ve stejném vozidle (např. spolujízda) a/nebo využívat stejnou službu (např. taxi) společně s dalšími osobami.</w:t>
            </w:r>
            <w:r>
              <w:rPr>
                <w:rFonts w:ascii="Verdana" w:hAnsi="Verdana" w:cs="Calibri-Bold"/>
                <w:b/>
                <w:bCs/>
                <w:sz w:val="18"/>
                <w:szCs w:val="18"/>
              </w:rPr>
            </w:r>
            <w:r>
              <w:rPr>
                <w:rFonts w:ascii="Verdana" w:hAnsi="Verdana" w:cs="Calibri-Bold"/>
                <w:b/>
                <w:bCs/>
                <w:sz w:val="18"/>
                <w:szCs w:val="18"/>
              </w:rPr>
            </w:r>
          </w:p>
          <w:p>
            <w:pPr>
              <w:pStyle w:val="886"/>
              <w:numPr>
                <w:ilvl w:val="0"/>
                <w:numId w:val="8"/>
              </w:numPr>
              <w:pBdr/>
              <w:spacing/>
              <w:ind/>
              <w:rPr>
                <w:rFonts w:ascii="Verdana" w:hAnsi="Verdana" w:cs="Calibri-Bold"/>
                <w:b/>
                <w:bCs/>
                <w:sz w:val="18"/>
                <w:szCs w:val="18"/>
              </w:rPr>
            </w:pPr>
            <w:r>
              <w:rPr>
                <w:rFonts w:ascii="Verdana" w:hAnsi="Verdana" w:cs="Calibri-Bold"/>
                <w:b/>
                <w:bCs/>
                <w:sz w:val="18"/>
                <w:szCs w:val="18"/>
              </w:rPr>
              <w:t xml:space="preserve">Služby sdílení majetku. </w:t>
            </w:r>
            <w:r>
              <w:rPr>
                <w:rFonts w:ascii="Verdana" w:hAnsi="Verdana" w:cs="Calibri"/>
                <w:sz w:val="18"/>
                <w:szCs w:val="18"/>
              </w:rPr>
              <w:t xml:space="preserve">Tento druh služeb umožňuje cestujícímu využít/vyzvednout si určitý dopravní prostředek (kolo, auto, e-koloběžku atd.) bez nutnosti řešit jakékoli majetkové záležitostí; uživatelé musí být</w:t>
            </w:r>
            <w:r>
              <w:rPr>
                <w:rFonts w:ascii="Verdana" w:hAnsi="Verdana" w:cs="Calibri"/>
                <w:sz w:val="18"/>
                <w:szCs w:val="18"/>
              </w:rPr>
              <w:t xml:space="preserve"> </w:t>
            </w:r>
            <w:r>
              <w:rPr>
                <w:rFonts w:ascii="Verdana" w:hAnsi="Verdana" w:cs="Calibri"/>
                <w:sz w:val="18"/>
                <w:szCs w:val="18"/>
              </w:rPr>
              <w:t xml:space="preserve">zaregistrováni na společných platformách. Protože komerční provozovatelé je nepovažují za rentabilní, služby sdílení automobilů ve venkovských oblastech jsou obvykle organizovány přímo komunitou, často formou krátkodobého</w:t>
            </w:r>
            <w:r>
              <w:rPr>
                <w:rFonts w:ascii="Verdana" w:hAnsi="Verdana" w:cs="Calibri"/>
                <w:sz w:val="18"/>
                <w:szCs w:val="18"/>
              </w:rPr>
              <w:t xml:space="preserve"> </w:t>
            </w:r>
            <w:r>
              <w:rPr>
                <w:rFonts w:ascii="Verdana" w:hAnsi="Verdana" w:cs="Calibri"/>
                <w:sz w:val="18"/>
                <w:szCs w:val="18"/>
              </w:rPr>
              <w:t xml:space="preserve">pronájmu, a to i na hodinu, na základě systému "návrat na základnu". Služby sdílení jízdních kol </w:t>
            </w:r>
            <w:r>
              <w:rPr>
                <w:rFonts w:ascii="Verdana" w:hAnsi="Verdana" w:cs="Calibri"/>
                <w:b/>
                <w:bCs/>
                <w:sz w:val="18"/>
                <w:szCs w:val="18"/>
              </w:rPr>
              <w:t xml:space="preserve">(vazba na nákup jízdních kol)</w:t>
            </w:r>
            <w:r>
              <w:rPr>
                <w:rFonts w:ascii="Verdana" w:hAnsi="Verdana" w:cs="Calibri"/>
                <w:sz w:val="18"/>
                <w:szCs w:val="18"/>
              </w:rPr>
              <w:t xml:space="preserve"> </w:t>
            </w:r>
            <w:r>
              <w:rPr>
                <w:rFonts w:ascii="Verdana" w:hAnsi="Verdana" w:cs="Calibri"/>
                <w:sz w:val="18"/>
                <w:szCs w:val="18"/>
              </w:rPr>
              <w:t xml:space="preserve">mohou být užitečným způsobem dopravy na </w:t>
            </w:r>
            <w:r>
              <w:rPr>
                <w:rFonts w:ascii="Verdana" w:hAnsi="Verdana" w:cs="Calibri"/>
                <w:sz w:val="18"/>
                <w:szCs w:val="18"/>
              </w:rPr>
              <w:t xml:space="preserve">vzdálenosti i 5 až 10 km; obvykle se využívají k dopravě směrem do hlavní sítě veřejné dopravy a do dopravních uzlů.</w:t>
            </w:r>
            <w:r>
              <w:rPr>
                <w:rFonts w:ascii="Verdana" w:hAnsi="Verdana" w:cs="Calibri-Bold"/>
                <w:b/>
                <w:bCs/>
                <w:sz w:val="18"/>
                <w:szCs w:val="18"/>
              </w:rPr>
            </w:r>
            <w:r>
              <w:rPr>
                <w:rFonts w:ascii="Verdana" w:hAnsi="Verdana" w:cs="Calibri-Bold"/>
                <w:b/>
                <w:bCs/>
                <w:sz w:val="18"/>
                <w:szCs w:val="18"/>
              </w:rPr>
            </w:r>
          </w:p>
          <w:p>
            <w:pPr>
              <w:pStyle w:val="886"/>
              <w:numPr>
                <w:ilvl w:val="0"/>
                <w:numId w:val="8"/>
              </w:numPr>
              <w:pBdr/>
              <w:spacing/>
              <w:ind/>
              <w:rPr>
                <w:rFonts w:ascii="Verdana" w:hAnsi="Verdana" w:cs="Calibri-Bold"/>
                <w:b/>
                <w:bCs/>
                <w:sz w:val="18"/>
                <w:szCs w:val="18"/>
              </w:rPr>
            </w:pPr>
            <w:r>
              <w:rPr>
                <w:rFonts w:ascii="Verdana" w:hAnsi="Verdana" w:cs="Calibri"/>
                <w:b/>
                <w:bCs/>
                <w:sz w:val="18"/>
                <w:szCs w:val="18"/>
              </w:rPr>
              <w:t xml:space="preserve">Další řešení mobility:</w:t>
            </w:r>
            <w:r>
              <w:rPr>
                <w:rFonts w:ascii="Verdana" w:hAnsi="Verdana" w:cs="Calibri"/>
                <w:sz w:val="18"/>
                <w:szCs w:val="18"/>
              </w:rPr>
              <w:t xml:space="preserve"> 1) I</w:t>
            </w:r>
            <w:r>
              <w:rPr>
                <w:rFonts w:ascii="Verdana" w:hAnsi="Verdana" w:cs="Calibri"/>
                <w:sz w:val="18"/>
                <w:szCs w:val="18"/>
              </w:rPr>
              <w:t xml:space="preserve">ntermodální mobilit</w:t>
            </w:r>
            <w:r>
              <w:rPr>
                <w:rFonts w:ascii="Verdana" w:hAnsi="Verdana" w:cs="Calibri"/>
                <w:sz w:val="18"/>
                <w:szCs w:val="18"/>
              </w:rPr>
              <w:t xml:space="preserve">a</w:t>
            </w:r>
            <w:r>
              <w:rPr>
                <w:rFonts w:ascii="Verdana" w:hAnsi="Verdana" w:cs="Calibri"/>
                <w:sz w:val="18"/>
                <w:szCs w:val="18"/>
              </w:rPr>
              <w:t xml:space="preserve"> pro obyvatele, </w:t>
            </w:r>
            <w:r>
              <w:rPr>
                <w:rFonts w:ascii="Verdana" w:hAnsi="Verdana" w:cs="Calibri"/>
                <w:sz w:val="18"/>
                <w:szCs w:val="18"/>
              </w:rPr>
              <w:t xml:space="preserve">která</w:t>
            </w:r>
            <w:r>
              <w:rPr>
                <w:rFonts w:ascii="Verdana" w:hAnsi="Verdana" w:cs="Calibri"/>
                <w:sz w:val="18"/>
                <w:szCs w:val="18"/>
              </w:rPr>
              <w:t xml:space="preserve"> ukáže všechny relevantní možnosti veřejné, komunální a sdílené dopravy</w:t>
            </w:r>
            <w:r>
              <w:rPr>
                <w:rFonts w:ascii="Verdana" w:hAnsi="Verdana" w:cs="Calibri"/>
                <w:sz w:val="18"/>
                <w:szCs w:val="18"/>
              </w:rPr>
              <w:t xml:space="preserve">, aneb </w:t>
            </w:r>
            <w:r>
              <w:rPr>
                <w:rFonts w:ascii="Verdana" w:hAnsi="Verdana" w:cs="Calibri"/>
                <w:sz w:val="18"/>
                <w:szCs w:val="18"/>
              </w:rPr>
              <w:t xml:space="preserve">MaaS</w:t>
            </w:r>
            <w:r>
              <w:rPr>
                <w:rFonts w:ascii="Verdana" w:hAnsi="Verdana" w:cs="Calibri"/>
                <w:sz w:val="18"/>
                <w:szCs w:val="18"/>
              </w:rPr>
              <w:t xml:space="preserve"> (Mobilita jako služba). </w:t>
            </w:r>
            <w:r>
              <w:rPr>
                <w:rFonts w:ascii="Verdana" w:hAnsi="Verdana" w:cs="Calibri"/>
                <w:sz w:val="18"/>
                <w:szCs w:val="18"/>
              </w:rPr>
              <w:t xml:space="preserve">Koordinace a spol</w:t>
            </w:r>
            <w:r>
              <w:rPr>
                <w:rFonts w:ascii="Verdana" w:hAnsi="Verdana" w:cs="Calibri"/>
                <w:sz w:val="18"/>
                <w:szCs w:val="18"/>
              </w:rPr>
              <w:t xml:space="preserve">upráce služeb mobility je založena na různých aspektech (Organizace a provoz, Plánování a návrh služeb, Zapojení, Obchodní model a marketing, Systémy produktů a služeb, Financování a obchod atd.), na kterých fyzická vrstva a ITC a digitalizace hrají roli "</w:t>
            </w:r>
            <w:r>
              <w:rPr>
                <w:rFonts w:ascii="Verdana" w:hAnsi="Verdana" w:cs="Calibri"/>
                <w:sz w:val="18"/>
                <w:szCs w:val="18"/>
              </w:rPr>
              <w:t xml:space="preserve">umožňovače</w:t>
            </w:r>
            <w:r>
              <w:rPr>
                <w:rFonts w:ascii="Verdana" w:hAnsi="Verdana" w:cs="Calibri"/>
                <w:sz w:val="18"/>
                <w:szCs w:val="18"/>
              </w:rPr>
              <w:t xml:space="preserve">".</w:t>
            </w:r>
            <w:r>
              <w:rPr>
                <w:rFonts w:ascii="Verdana" w:hAnsi="Verdana" w:cs="Calibri"/>
                <w:sz w:val="18"/>
                <w:szCs w:val="18"/>
              </w:rPr>
              <w:t xml:space="preserve"> 2) </w:t>
            </w:r>
            <w:r>
              <w:rPr>
                <w:rFonts w:ascii="Verdana" w:hAnsi="Verdana" w:cs="Calibri"/>
                <w:sz w:val="18"/>
                <w:szCs w:val="18"/>
              </w:rPr>
              <w:t xml:space="preserve">Posílení "fyzické" integrace do konceptu centra mobility. Filozofie "hubu" spočívá ve zvýšení počtu dopravních uzlů dopravní sítě prostřednictvím rozvoje fyzického prostředí, kde jsou cestujícím nabízena různá dopravní zařízení a spojení.</w:t>
            </w:r>
            <w:r>
              <w:rPr>
                <w:rFonts w:ascii="Verdana" w:hAnsi="Verdana" w:cs="Calibri-Bold"/>
                <w:b/>
                <w:bCs/>
                <w:sz w:val="18"/>
                <w:szCs w:val="18"/>
              </w:rPr>
            </w:r>
            <w:r>
              <w:rPr>
                <w:rFonts w:ascii="Verdana" w:hAnsi="Verdana" w:cs="Calibri-Bold"/>
                <w:b/>
                <w:bCs/>
                <w:sz w:val="18"/>
                <w:szCs w:val="18"/>
              </w:rPr>
            </w:r>
          </w:p>
        </w:tc>
      </w:tr>
      <w:tr>
        <w:trPr>
          <w:trHeight w:val="260"/>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50"/>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b/>
                <w:sz w:val="18"/>
                <w:szCs w:val="18"/>
              </w:rPr>
            </w:pPr>
            <w:r>
              <w:rPr>
                <w:rFonts w:ascii="Verdana" w:hAnsi="Verdana"/>
                <w:b/>
                <w:sz w:val="18"/>
                <w:szCs w:val="18"/>
              </w:rPr>
              <w:t xml:space="preserve">Odhad nákladů: 1 miliarda Kč</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t xml:space="preserve">1, 9, 11,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1989"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645"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t xml:space="preserve">ČA</w:t>
      </w:r>
      <w:r>
        <w:rPr>
          <w:rFonts w:ascii="Verdana" w:hAnsi="Verdana"/>
          <w:b/>
        </w:rPr>
        <w:t xml:space="preserve">OVD</w:t>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NÁZEV OPATŘENÍ/INVESTICE</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Krytí zvýšených nákladů z důvodu zavedení ETS2 krajům jakožto objednatelům veřejné dopravy</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Náklady veřejné dopravy se vlivem zavedení EST2 zvýší, kr</w:t>
            </w:r>
            <w:r>
              <w:rPr>
                <w:rFonts w:ascii="Verdana" w:hAnsi="Verdana"/>
                <w:sz w:val="18"/>
                <w:szCs w:val="18"/>
              </w:rPr>
              <w:t xml:space="preserve">aje jakožto objednatelé regionální dopravy v ČR budou uvedené nuceny řešit. Jedním z možných řešení je zvýšení ceny jízdného z důvodu nutné sanace zvyšujících se nákladů, avšak uvedené nelze z pozice kraje řešit z důvodu diskriminace pouze v části regionu.</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Pokud by nedošlo k zajištění krytí zvýšených nákladů objednatelům veřejné dopravy, v tomto případě krajům, došlo by naopak ke zvyšování ceny pro uživatele a tím ke zvyšování tzv. dopravní chudoby.</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V uvedeném opatření by tak nedošlo k plošnému navýšení jízdného, ale k sanaci zvýšených nákladů z fondu.</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Jen uvedené opatření zajistí minimálně stávající dopravní obsluhu a nezvyšování dopravní chudoby v celém kraji! I ve městech a v ekonomicky silných regionech existují „dopravně chudí“ občané. </w:t>
            </w:r>
            <w:r>
              <w:rPr>
                <w:rFonts w:ascii="Verdana" w:hAnsi="Verdana"/>
                <w:sz w:val="18"/>
                <w:szCs w:val="18"/>
              </w:rPr>
              <w:br/>
            </w:r>
            <w:r>
              <w:rPr>
                <w:rFonts w:ascii="Verdana" w:hAnsi="Verdana"/>
                <w:sz w:val="18"/>
                <w:szCs w:val="18"/>
              </w:rPr>
              <w:br/>
              <w:t xml:space="preserve">Uvedené opatření se dotýká jak autobusové, tak železniční dopravy.</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Krytí zvýšených nákladů z důvodu zavedení ETS2</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1, 11, 13</w:t>
            </w:r>
            <w:r>
              <w:rPr>
                <w:rFonts w:ascii="Verdana" w:hAnsi="Verdana"/>
                <w:sz w:val="18"/>
                <w:szCs w:val="18"/>
              </w:rPr>
            </w:r>
            <w:r>
              <w:rPr>
                <w:rFonts w:ascii="Verdana" w:hAnsi="Verdana"/>
                <w:sz w:val="18"/>
                <w:szCs w:val="18"/>
              </w:rPr>
            </w:r>
          </w:p>
        </w:tc>
      </w:tr>
      <w:tr>
        <w:trPr>
          <w:trHeight w:val="781"/>
        </w:trPr>
        <w:tc>
          <w:tcPr>
            <w:tcBorders/>
            <w:tcW w:w="2122" w:type="dxa"/>
            <w:vMerge w:val="restart"/>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vMerge w:val="restart"/>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NÁZEV OPATŘENÍ/INVESTICE</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Krytí propadů tržeb z jízdného z důvodu zavedení ETS2 krajům jakožto objednatelům veřejné dopravy</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Náklady veřejné dopravy se vlivem zavedení EST2 zvýší, kr</w:t>
            </w:r>
            <w:r>
              <w:rPr>
                <w:rFonts w:ascii="Verdana" w:hAnsi="Verdana"/>
                <w:sz w:val="18"/>
                <w:szCs w:val="18"/>
              </w:rPr>
              <w:t xml:space="preserve">aje jakožto objednatelé regionální dopravy v ČR budou uvedené nuceny řešit. Jedním z možných řešení je zvýšení ceny jízdného z důvodu nutné sanace zvyšujících se nákladů, avšak uvedené nelze z pozice kraje řešit z důvodu diskriminace pouze v části regionu.</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Bude tak zavedena nová kategorie cestujících „dopravně chudý“, který obdrží slevu z jízdného.</w:t>
            </w:r>
            <w:r>
              <w:rPr>
                <w:rFonts w:ascii="Verdana" w:hAnsi="Verdana"/>
                <w:sz w:val="18"/>
                <w:szCs w:val="18"/>
              </w:rPr>
              <w:br/>
            </w:r>
            <w:r>
              <w:rPr>
                <w:rFonts w:ascii="Verdana" w:hAnsi="Verdana"/>
                <w:sz w:val="18"/>
                <w:szCs w:val="18"/>
              </w:rPr>
              <w:br/>
              <w:t xml:space="preserve">V takovém případě bude nutné jasně vymezit podmínky pro cestující, kteří slevu „dopravně chudý“ budou moci využít. Nejlépe tak, aby pro jízdné přicházel již s potvrzeným nárokem ze strany úřadů ČR</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V uvedeném opatření by došlo k plošnému navýšení jízdného, k zavedení nové kategorie jízdného „dopravně chudý“ s nižší cenou jízdného a k sanaci propadu v tržbách objednateli z důvodu zavedení nové kategorie jízdného</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Uvedené opatření řeší problém pouze částečně, dopad na veřejnou dopravu bude plošný po celém kraji.</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Krytí nižších tržeb ve veřejné dopravě z důvodu zavedení nové kategorie jízdného</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Bez další specifikace nelze</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3, 8, 11,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tc>
      </w:tr>
      <w:tr>
        <w:trPr>
          <w:trHeight w:val="781"/>
        </w:trPr>
        <w:tc>
          <w:tcPr>
            <w:tcBorders/>
            <w:tcW w:w="2122" w:type="dxa"/>
            <w:vMerge w:val="restart"/>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vMerge w:val="restart"/>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NÁZEV OPATŘENÍ/INVESTICE</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lepší obsluhy „dopravně chudých“ regionů</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V současné době existují v ČR regiony, kde je problematické</w:t>
            </w:r>
            <w:r>
              <w:rPr>
                <w:rFonts w:ascii="Verdana" w:hAnsi="Verdana"/>
                <w:sz w:val="18"/>
                <w:szCs w:val="18"/>
              </w:rPr>
              <w:t xml:space="preserve"> zavádět kvalitní veřejnou dopravu s ohledem na hustotu zalidnění. S ohledem na potřebu přesunu veřejnosti do veřejné dopravy z důvodu zajištění kvality životního prostředí, je možné uvedené řešit metodami zavedení veřejné dopravy na zavolání či objednání.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Jakékoliv zavedení takové veřejné dopravy však není vázáno pouze na pořízení nových vozidel, ale taktéž na náklady jejich provozu.</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Opatření by tedy mělo umožňovat úhradu nákladů objednatelům veřejné dopravy za zavedení takové formy veřejné dopravy, která zajistí v „dopravně chudém“ regionu odpovídající nabídku služeb veřejné dopravy.</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Krytí nákladů na zavedení potřebné formy veřejné dopravy v „dopravně chudých“ regionech.</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Bez další specifikace nelze</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tc>
      </w:tr>
      <w:tr>
        <w:trPr>
          <w:trHeight w:val="781"/>
        </w:trPr>
        <w:tc>
          <w:tcPr>
            <w:tcBorders/>
            <w:tcW w:w="2122" w:type="dxa"/>
            <w:vMerge w:val="restart"/>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vMerge w:val="restart"/>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t xml:space="preserve">MMR</w:t>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Style w:val="886"/>
              <w:numPr>
                <w:ilvl w:val="3"/>
                <w:numId w:val="6"/>
              </w:numPr>
              <w:pBdr/>
              <w:spacing/>
              <w:ind w:hanging="337" w:left="2857"/>
              <w:rPr>
                <w:rFonts w:ascii="Verdana" w:hAnsi="Verdana"/>
                <w:b/>
                <w:sz w:val="18"/>
                <w:szCs w:val="18"/>
              </w:rPr>
            </w:pPr>
            <w:r>
              <w:rPr>
                <w:rFonts w:ascii="Verdana" w:hAnsi="Verdana"/>
                <w:b/>
                <w:sz w:val="18"/>
                <w:szCs w:val="18"/>
              </w:rPr>
              <w:t xml:space="preserve">Nabíječky a plničky pro operativní veřejnou dopravu pro ÚSC</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Podpora výstavby infrastruktury pro dobíjení a doplňování paliva minibusů pro zajištění operativní veřejné hromadné dopravy pro územně samosprávné celky v odlehlých územích ČR</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Doplněk k opatření „vozidla“.</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výstavby infrastruktury pro dobíjení a doplňování paliva minibusů pro zajištění operativní veřejné hromadné dopravy pro územně samosprávné celky v odlehlých územích ČR</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sz w:val="18"/>
                <w:szCs w:val="18"/>
              </w:rPr>
            </w:pPr>
            <w:r>
              <w:rPr>
                <w:rFonts w:ascii="Verdana" w:hAnsi="Verdana"/>
                <w:b/>
                <w:sz w:val="18"/>
                <w:szCs w:val="18"/>
              </w:rPr>
              <w:t xml:space="preserve">Odhad nákladů: 500 mil. Kč</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investiční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4, 9, 11,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Style w:val="886"/>
              <w:numPr>
                <w:ilvl w:val="3"/>
                <w:numId w:val="6"/>
              </w:numPr>
              <w:pBdr/>
              <w:spacing/>
              <w:ind/>
              <w:rPr>
                <w:rFonts w:ascii="Verdana" w:hAnsi="Verdana"/>
                <w:b/>
                <w:sz w:val="18"/>
                <w:szCs w:val="18"/>
              </w:rPr>
            </w:pPr>
            <w:r>
              <w:rPr>
                <w:rFonts w:ascii="Verdana" w:hAnsi="Verdana"/>
                <w:b/>
                <w:sz w:val="18"/>
                <w:szCs w:val="18"/>
              </w:rPr>
              <w:t xml:space="preserve">Cyklodoprava</w:t>
            </w:r>
            <w:r>
              <w:rPr>
                <w:rFonts w:ascii="Verdana" w:hAnsi="Verdana"/>
                <w:b/>
                <w:sz w:val="18"/>
                <w:szCs w:val="18"/>
              </w:rPr>
              <w:t xml:space="preserve"> </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Infrastruktura </w:t>
            </w:r>
            <w:r>
              <w:rPr>
                <w:rFonts w:ascii="Verdana" w:hAnsi="Verdana"/>
                <w:sz w:val="18"/>
                <w:szCs w:val="18"/>
              </w:rPr>
              <w:t xml:space="preserve">cyklodopravy</w:t>
            </w:r>
            <w:r>
              <w:rPr>
                <w:rFonts w:ascii="Verdana" w:hAnsi="Verdana"/>
                <w:sz w:val="18"/>
                <w:szCs w:val="18"/>
              </w:rPr>
              <w:t xml:space="preserve"> pro zranitelné uživatele dopravy</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svých </w:t>
            </w:r>
            <w:r>
              <w:rPr>
                <w:rFonts w:ascii="Verdana" w:hAnsi="Verdana"/>
                <w:sz w:val="18"/>
                <w:szCs w:val="18"/>
              </w:rPr>
              <w:t xml:space="preserve">socio</w:t>
            </w:r>
            <w:r>
              <w:rPr>
                <w:rFonts w:ascii="Verdana" w:hAnsi="Verdana"/>
                <w:sz w:val="18"/>
                <w:szCs w:val="18"/>
              </w:rPr>
              <w:t xml:space="preserve">-ekonomických potřeb často odkázání na IAD. Linková doprava v odlehlých regionech není </w:t>
            </w:r>
            <w:r>
              <w:rPr>
                <w:rFonts w:ascii="Verdana" w:hAnsi="Verdana"/>
                <w:sz w:val="18"/>
                <w:szCs w:val="18"/>
              </w:rPr>
              <w:t xml:space="preserve">efektivní: vytíženost spojů je nízká, nedostatečně plánovaná, často s mnoha přestupy, ceny jízdenek kolísají. Provozní náklady dopravců rostou, rovněž tlak na zajištění obslužnosti obcí. Zároveň je cíl dekarbonizovat dopravu a snížit závislost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V některých regionech je vhodné zaměřit podporu na individuální </w:t>
            </w:r>
            <w:r>
              <w:rPr>
                <w:rFonts w:ascii="Verdana" w:hAnsi="Verdana"/>
                <w:sz w:val="18"/>
                <w:szCs w:val="18"/>
              </w:rPr>
              <w:t xml:space="preserve">cyklodopravu</w:t>
            </w:r>
            <w:r>
              <w:rPr>
                <w:rFonts w:ascii="Verdana" w:hAnsi="Verdana"/>
                <w:sz w:val="18"/>
                <w:szCs w:val="18"/>
              </w:rPr>
              <w:t xml:space="preserve"> </w:t>
            </w:r>
            <w:r>
              <w:rPr>
                <w:rFonts w:ascii="Verdana" w:hAnsi="Verdana"/>
                <w:sz w:val="18"/>
                <w:szCs w:val="18"/>
              </w:rPr>
              <w:br/>
              <w:t xml:space="preserve">vyhrazené komunikace, </w:t>
            </w:r>
            <w:r>
              <w:rPr>
                <w:rFonts w:ascii="Verdana" w:hAnsi="Verdana"/>
                <w:sz w:val="18"/>
                <w:szCs w:val="18"/>
              </w:rPr>
              <w:t xml:space="preserve">elektrokola</w:t>
            </w:r>
            <w:r>
              <w:rPr>
                <w:rFonts w:ascii="Verdana" w:hAnsi="Verdana"/>
                <w:sz w:val="18"/>
                <w:szCs w:val="18"/>
              </w:rPr>
              <w:t xml:space="preserve">, nabíječky)</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infrastruktury </w:t>
            </w:r>
            <w:r>
              <w:rPr>
                <w:rFonts w:ascii="Verdana" w:hAnsi="Verdana"/>
                <w:sz w:val="18"/>
                <w:szCs w:val="18"/>
              </w:rPr>
              <w:t xml:space="preserve">cyklodopravy</w:t>
            </w:r>
            <w:r>
              <w:rPr>
                <w:rFonts w:ascii="Verdana" w:hAnsi="Verdana"/>
                <w:sz w:val="18"/>
                <w:szCs w:val="18"/>
              </w:rPr>
              <w:t xml:space="preserve"> pro zranitelné uživatele dopravy</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sz w:val="18"/>
                <w:szCs w:val="18"/>
              </w:rPr>
            </w:pPr>
            <w:r>
              <w:rPr>
                <w:rFonts w:ascii="Verdana" w:hAnsi="Verdana"/>
                <w:b/>
                <w:sz w:val="18"/>
                <w:szCs w:val="18"/>
              </w:rPr>
              <w:t xml:space="preserve">Odhad nákladů: 1 mld. Kč</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investiční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4, 9, 11, 13 + územní dimenze: odlehlé regiony, vnitřní/vnější periferie = oblasti s nízkou obslužností VHD (1), kde hrozí dopravní chudoba, vyšší míra ohrožení sociálním vyloučením dle Indexu sociálního vyloučení (2)</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Style w:val="886"/>
              <w:numPr>
                <w:ilvl w:val="3"/>
                <w:numId w:val="6"/>
              </w:numPr>
              <w:pBdr/>
              <w:spacing/>
              <w:ind/>
              <w:rPr>
                <w:rFonts w:ascii="Verdana" w:hAnsi="Verdana"/>
                <w:b/>
                <w:sz w:val="18"/>
                <w:szCs w:val="18"/>
              </w:rPr>
            </w:pPr>
            <w:r>
              <w:rPr>
                <w:rFonts w:ascii="Verdana" w:hAnsi="Verdana"/>
                <w:b/>
                <w:sz w:val="18"/>
                <w:szCs w:val="18"/>
              </w:rPr>
              <w:t xml:space="preserve">Sdílená mobilita pro ÚSC</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Zvýšení dostupnosti občanské vybavenosti</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se zaměřením na sdílenou mobilitu a operativní hromadnou dopravu</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svých </w:t>
            </w:r>
            <w:r>
              <w:rPr>
                <w:rFonts w:ascii="Verdana" w:hAnsi="Verdana"/>
                <w:sz w:val="18"/>
                <w:szCs w:val="18"/>
              </w:rPr>
              <w:t xml:space="preserve">socio</w:t>
            </w:r>
            <w:r>
              <w:rPr>
                <w:rFonts w:ascii="Verdana" w:hAnsi="Verdana"/>
                <w:sz w:val="18"/>
                <w:szCs w:val="18"/>
              </w:rPr>
              <w:t xml:space="preserve">-ekonomických potřeb často odkázání na IAD. Linková doprava v odlehlých regionech není </w:t>
            </w:r>
            <w:r>
              <w:rPr>
                <w:rFonts w:ascii="Verdana" w:hAnsi="Verdana"/>
                <w:sz w:val="18"/>
                <w:szCs w:val="18"/>
              </w:rPr>
              <w:t xml:space="preserve">efektivní: vytíženost spojů je nízká, nedostatečně plánovaná, často s mnoha přestupy, ceny jízdenek kolísají. Provozní náklady dopravců rostou, rovněž tlak na zajištění obslužnosti obcí. Zároveň je cíl dekarbonizovat dopravu a snížit závislost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V některých regionech je vhodné zaměřit podporu na sdílenou mobilitu (</w:t>
            </w:r>
            <w:r>
              <w:rPr>
                <w:rFonts w:ascii="Verdana" w:hAnsi="Verdana"/>
                <w:sz w:val="18"/>
                <w:szCs w:val="18"/>
              </w:rPr>
              <w:t xml:space="preserve">elektrokola</w:t>
            </w:r>
            <w:r>
              <w:rPr>
                <w:rFonts w:ascii="Verdana" w:hAnsi="Verdana"/>
                <w:sz w:val="18"/>
                <w:szCs w:val="18"/>
              </w:rPr>
              <w:t xml:space="preserve">, </w:t>
            </w:r>
            <w:r>
              <w:rPr>
                <w:rFonts w:ascii="Verdana" w:hAnsi="Verdana"/>
                <w:sz w:val="18"/>
                <w:szCs w:val="18"/>
              </w:rPr>
              <w:t xml:space="preserve">elektrokoloběžky</w:t>
            </w:r>
            <w:r>
              <w:rPr>
                <w:rFonts w:ascii="Verdana" w:hAnsi="Verdana"/>
                <w:sz w:val="18"/>
                <w:szCs w:val="18"/>
              </w:rPr>
              <w:t xml:space="preserve">, </w:t>
            </w:r>
            <w:r>
              <w:rPr>
                <w:rFonts w:ascii="Verdana" w:hAnsi="Verdana"/>
                <w:sz w:val="18"/>
                <w:szCs w:val="18"/>
              </w:rPr>
              <w:t xml:space="preserve">elektroautomobily</w:t>
            </w:r>
            <w:r>
              <w:rPr>
                <w:rFonts w:ascii="Verdana" w:hAnsi="Verdana"/>
                <w:sz w:val="18"/>
                <w:szCs w:val="18"/>
              </w:rPr>
              <w:t xml:space="preserve">, digitální aplikace pro využívání sdílené mobility a operativní hromadné dopravy)</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infrastruktury sdílené mobility pro zranitelné uživatele dopravy</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sz w:val="18"/>
                <w:szCs w:val="18"/>
              </w:rPr>
            </w:pPr>
            <w:r>
              <w:rPr>
                <w:rFonts w:ascii="Verdana" w:hAnsi="Verdana"/>
                <w:b/>
                <w:sz w:val="18"/>
                <w:szCs w:val="18"/>
              </w:rPr>
              <w:t xml:space="preserve">Odhad nákladů: 1 mld. Kč</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investiční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4, 8, 9, 11, 13 + územní dimenze: odlehlé regiony, vnitřní/vnější periferie = oblasti s nízkou obslužností VHD (1), kde hrozí dopravní chudoba, vyšší míra ohrožení sociálním vyloučením dle Indexu sociálního vyloučení (2)</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Jako v IROP vozidla (dle metodiky EIB)</w:t>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371"/>
        </w:trPr>
        <w:tc>
          <w:tcPr>
            <w:gridSpan w:val="2"/>
            <w:shd w:val="clear" w:color="auto" w:fill="d5dce4" w:themeFill="text2" w:themeFillTint="33"/>
            <w:tcBorders/>
            <w:tcW w:w="9630" w:type="dxa"/>
            <w:textDirection w:val="lrTb"/>
            <w:noWrap w:val="false"/>
          </w:tcPr>
          <w:p>
            <w:pPr>
              <w:pStyle w:val="886"/>
              <w:numPr>
                <w:ilvl w:val="3"/>
                <w:numId w:val="6"/>
              </w:numPr>
              <w:pBdr/>
              <w:spacing/>
              <w:ind w:left="589"/>
              <w:rPr>
                <w:rFonts w:ascii="Verdana" w:hAnsi="Verdana"/>
                <w:b/>
                <w:sz w:val="18"/>
                <w:szCs w:val="18"/>
              </w:rPr>
            </w:pPr>
            <w:r>
              <w:rPr>
                <w:rFonts w:ascii="Verdana" w:hAnsi="Verdana"/>
                <w:b/>
                <w:sz w:val="18"/>
                <w:szCs w:val="18"/>
              </w:rPr>
              <w:t xml:space="preserve">Nízkoemisní</w:t>
            </w:r>
            <w:r>
              <w:rPr>
                <w:rFonts w:ascii="Verdana" w:hAnsi="Verdana"/>
                <w:b/>
                <w:sz w:val="18"/>
                <w:szCs w:val="18"/>
              </w:rPr>
              <w:t xml:space="preserve"> a bezemisní vozidla pro VHD (mikro a minibusy, 10 až 26 míst)</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Motivace k využívání cenově dostupné a přístupné veřejné dopravy</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svých </w:t>
            </w:r>
            <w:r>
              <w:rPr>
                <w:rFonts w:ascii="Verdana" w:hAnsi="Verdana"/>
                <w:sz w:val="18"/>
                <w:szCs w:val="18"/>
              </w:rPr>
              <w:t xml:space="preserve">socio</w:t>
            </w:r>
            <w:r>
              <w:rPr>
                <w:rFonts w:ascii="Verdana" w:hAnsi="Verdana"/>
                <w:sz w:val="18"/>
                <w:szCs w:val="18"/>
              </w:rPr>
              <w:t xml:space="preserve">-ekonomických p</w:t>
            </w:r>
            <w:r>
              <w:rPr>
                <w:rFonts w:ascii="Verdana" w:hAnsi="Verdana"/>
                <w:sz w:val="18"/>
                <w:szCs w:val="18"/>
              </w:rPr>
              <w:t xml:space="preserve">otřeb často odkázání na IAD. Linková doprava v odlehlých regionech může být méně obsazená a je třeba ji lépe plánovat a zajistit cenovou dostupnost dopravy i pro nízkopříjmové uživatele. Zároveň je cíl dekarbonizovat dopravu a snížit závislost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V dopravních prostředcích budou zároveň poskytovány jízdenky za sníženou cenu nebo bezplatné jízdenky pro osoby trpící dopravní chudobou.</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after="160" w:line="259" w:lineRule="auto"/>
              <w:ind/>
              <w:rPr>
                <w:rFonts w:ascii="Verdana" w:hAnsi="Verdana"/>
                <w:sz w:val="18"/>
                <w:szCs w:val="18"/>
              </w:rPr>
            </w:pPr>
            <w:r>
              <w:rPr>
                <w:rFonts w:ascii="Verdana" w:hAnsi="Verdana"/>
                <w:sz w:val="18"/>
                <w:szCs w:val="18"/>
              </w:rPr>
              <w:t xml:space="preserve">Zajištění nákupu </w:t>
            </w:r>
            <w:r>
              <w:rPr>
                <w:rFonts w:ascii="Verdana" w:hAnsi="Verdana"/>
                <w:sz w:val="18"/>
                <w:szCs w:val="18"/>
              </w:rPr>
              <w:t xml:space="preserve">nízkoemisních</w:t>
            </w:r>
            <w:r>
              <w:rPr>
                <w:rFonts w:ascii="Verdana" w:hAnsi="Verdana"/>
                <w:sz w:val="18"/>
                <w:szCs w:val="18"/>
              </w:rPr>
              <w:t xml:space="preserve"> a bezemisních mikro a minibusů pro ÚSC/ORP, kraje.</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sz w:val="18"/>
                <w:szCs w:val="18"/>
              </w:rPr>
            </w:pPr>
            <w:r>
              <w:rPr>
                <w:rFonts w:ascii="Verdana" w:hAnsi="Verdana"/>
                <w:b/>
                <w:sz w:val="18"/>
                <w:szCs w:val="18"/>
              </w:rPr>
              <w:t xml:space="preserve">Odhad nákladů: 1–2 mld. Kč</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investiční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(2–7 mil. Kč/vozidlo, 3-8 ks vozidel pro ORP dle vymezení; analýza regionů s omezenou obslužností VHD by měla vymezit a determinovat územní způsobilost investice, nyní předpoklad 100 ORP)</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4, 8, 9, 11, 13 + územní dimenze: odlehlé regiony, vnitřní/vnější periferie = oblasti s nízkou obslužností VHD (1), kde hrozí dopravní chudoba, vyšší míra ohrožení sociálním vyloučením dle Indexu sociálního vyloučení (2)</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Jako v IROP vozidla (dle metodiky EIB)</w:t>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t xml:space="preserve">SDP ČR</w:t>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Operativní veřejná hromadná doprava: nákup elektrických </w:t>
            </w:r>
            <w:r>
              <w:rPr>
                <w:rFonts w:ascii="Verdana" w:hAnsi="Verdana"/>
                <w:b/>
                <w:sz w:val="18"/>
                <w:szCs w:val="18"/>
              </w:rPr>
              <w:t xml:space="preserve">minibusů  pro</w:t>
            </w:r>
            <w:r>
              <w:rPr>
                <w:rFonts w:ascii="Verdana" w:hAnsi="Verdana"/>
                <w:b/>
                <w:sz w:val="18"/>
                <w:szCs w:val="18"/>
              </w:rPr>
              <w:t xml:space="preserve"> ÚSC</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Nákup elektrických minibusu pro zajištění operativní veřejné hromadné dopravy pro územně samosprávné celky v odlehlých územích ČR</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svých </w:t>
            </w:r>
            <w:r>
              <w:rPr>
                <w:rFonts w:ascii="Verdana" w:hAnsi="Verdana"/>
                <w:sz w:val="18"/>
                <w:szCs w:val="18"/>
              </w:rPr>
              <w:t xml:space="preserve">socio</w:t>
            </w:r>
            <w:r>
              <w:rPr>
                <w:rFonts w:ascii="Verdana" w:hAnsi="Verdana"/>
                <w:sz w:val="18"/>
                <w:szCs w:val="18"/>
              </w:rPr>
              <w:t xml:space="preserve">-ekonomických potřeb často odkázání na IAD. Linková doprava v odlehlých regionech není </w:t>
            </w:r>
            <w:r>
              <w:rPr>
                <w:rFonts w:ascii="Verdana" w:hAnsi="Verdana"/>
                <w:sz w:val="18"/>
                <w:szCs w:val="18"/>
              </w:rPr>
              <w:t xml:space="preserve">efektivní: vytíženost spojů je nízká, nedostatečně plánovaná, často s mnoha přestupy, ceny jízdenek kolísají. Provozní náklady dopravců rostou, rovněž tlak na zajištění obslužnosti obcí. Zároveň je cíl dekarbonizovat dopravu a snížit závislost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Operativní hromadná doprava dokáže efektivně naplánovat cestu v odlehlých regionech, zvýšit kapacitu </w:t>
            </w:r>
            <w:r>
              <w:rPr>
                <w:rFonts w:ascii="Verdana" w:hAnsi="Verdana"/>
                <w:sz w:val="18"/>
                <w:szCs w:val="18"/>
              </w:rPr>
              <w:t xml:space="preserve">přepravených osob, snížit náklady na provoz veřejné hromadné dopravy pro provozovatele VHD a tím i cenu jízdného. Navíc je možné zajistit komfortnější a dostupnější dopravní servis pro zranitelné uživatele (nízkopříjmové jedince, seniory, děti, postižení).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nákupu elektrických mikrobusů pro ÚSC/ORP</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sz w:val="18"/>
                <w:szCs w:val="18"/>
              </w:rPr>
            </w:pPr>
            <w:r>
              <w:rPr>
                <w:rFonts w:ascii="Verdana" w:hAnsi="Verdana"/>
                <w:b/>
                <w:sz w:val="18"/>
                <w:szCs w:val="18"/>
              </w:rPr>
              <w:t xml:space="preserve">Odhad nákladů: 1-2 mld. Kč</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sz w:val="18"/>
                <w:szCs w:val="18"/>
              </w:rPr>
              <w:t xml:space="preserve">(5 mil. Kč/vozidlo, 5-10 ks vozidel pro ORP dle vymezení; analýza regionů s omezenou obslužností VHD by měla vymezit a determinovat územní způsobilost investice, nyní předpoklad 100 ORP)</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investiční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4, 9, 11, 13 + 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Budou upřesněny na základě odhadů počtu kusů a ročního nájezdu</w:t>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t xml:space="preserve"> </w:t>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NÁZEV OPATŘENÍ/INVESTICE Provozní dotace pro hromadnou dopravu</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Provozní dotace pro poskytovatele veřejné dopravy, která pokryje nárůst cen PHM v souvislosti se zavedením EU ETS 2</w:t>
            </w:r>
            <w:r>
              <w:rPr>
                <w:rFonts w:ascii="Verdana" w:hAnsi="Verdana"/>
                <w:sz w:val="18"/>
                <w:szCs w:val="18"/>
              </w:rPr>
            </w:r>
            <w:r>
              <w:rPr>
                <w:rFonts w:ascii="Verdana" w:hAnsi="Verdana"/>
                <w:sz w:val="18"/>
                <w:szCs w:val="18"/>
              </w:rPr>
            </w:r>
          </w:p>
        </w:tc>
      </w:tr>
      <w:tr>
        <w:trPr>
          <w:trHeight w:val="1243"/>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V rámci zavedení EU ETS 2 dochá</w:t>
            </w:r>
            <w:r>
              <w:rPr>
                <w:rFonts w:ascii="Verdana" w:hAnsi="Verdana"/>
                <w:sz w:val="18"/>
                <w:szCs w:val="18"/>
              </w:rPr>
              <w:t xml:space="preserve">zí k navýšení cen PHM, což povede ke zvýšení nákladů poskytovatelů veřejné dopravy – Dopravní podniky, ČD a linkový dopravci. Pokud má zůstat zachovaná kvalitní sít veřejné dopravy a nemá dojít k navýšení IAD, je nutné navýšené náklady dopravců kompenzovat</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Provozní dotace</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Odhad </w:t>
            </w:r>
            <w:r>
              <w:rPr>
                <w:rFonts w:ascii="Verdana" w:hAnsi="Verdana"/>
                <w:sz w:val="18"/>
                <w:szCs w:val="18"/>
              </w:rPr>
              <w:t xml:space="preserve">nákladů :</w:t>
            </w:r>
            <w:r>
              <w:rPr>
                <w:rFonts w:ascii="Verdana" w:hAnsi="Verdana"/>
                <w:sz w:val="18"/>
                <w:szCs w:val="18"/>
              </w:rPr>
              <w:t xml:space="preserve"> 750 mil. Kč ročně</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1,11,12,13</w:t>
            </w:r>
            <w:r>
              <w:rPr>
                <w:rFonts w:ascii="Verdana" w:hAnsi="Verdana"/>
                <w:sz w:val="18"/>
                <w:szCs w:val="18"/>
              </w:rPr>
            </w:r>
            <w:r>
              <w:rPr>
                <w:rFonts w:ascii="Verdana" w:hAnsi="Verdana"/>
                <w:sz w:val="18"/>
                <w:szCs w:val="18"/>
              </w:rPr>
            </w:r>
          </w:p>
        </w:tc>
      </w:tr>
      <w:tr>
        <w:trPr>
          <w:trHeight w:val="781"/>
        </w:trPr>
        <w:tc>
          <w:tcPr>
            <w:tcBorders/>
            <w:tcW w:w="2122" w:type="dxa"/>
            <w:vMerge w:val="restart"/>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vMerge w:val="restart"/>
            <w:textDirection w:val="lrTb"/>
            <w:noWrap w:val="false"/>
          </w:tcPr>
          <w:p>
            <w:pPr>
              <w:pBdr/>
              <w:spacing/>
              <w:ind/>
              <w:rPr>
                <w:rFonts w:ascii="Verdana" w:hAnsi="Verdana"/>
                <w:sz w:val="18"/>
                <w:szCs w:val="18"/>
              </w:rPr>
            </w:pPr>
            <w:r>
              <w:rPr>
                <w:rFonts w:ascii="Verdana" w:hAnsi="Verdana"/>
                <w:sz w:val="18"/>
                <w:szCs w:val="18"/>
              </w:rPr>
              <w:t xml:space="preserve">Vyplývají ze započítání externalit způsobených nárůstem IAD</w:t>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NÁZEV OPATŘENÍ/INVESTICE Investiční dotace pro DP na nákup </w:t>
            </w:r>
            <w:r>
              <w:rPr>
                <w:rFonts w:ascii="Verdana" w:hAnsi="Verdana"/>
                <w:b/>
                <w:sz w:val="18"/>
                <w:szCs w:val="18"/>
              </w:rPr>
              <w:t xml:space="preserve">nízkoemisních</w:t>
            </w:r>
            <w:r>
              <w:rPr>
                <w:rFonts w:ascii="Verdana" w:hAnsi="Verdana"/>
                <w:b/>
                <w:sz w:val="18"/>
                <w:szCs w:val="18"/>
              </w:rPr>
              <w:t xml:space="preserve"> nebo bezemisních vozidel</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Nákup </w:t>
            </w:r>
            <w:r>
              <w:rPr>
                <w:rFonts w:ascii="Verdana" w:hAnsi="Verdana"/>
                <w:sz w:val="18"/>
                <w:szCs w:val="18"/>
              </w:rPr>
              <w:t xml:space="preserve">nízkoemisních</w:t>
            </w:r>
            <w:r>
              <w:rPr>
                <w:rFonts w:ascii="Verdana" w:hAnsi="Verdana"/>
                <w:sz w:val="18"/>
                <w:szCs w:val="18"/>
              </w:rPr>
              <w:t xml:space="preserve"> nebo bezemisních vozidel pro DP</w:t>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Dopravní podniky v ČR zajišťují přepravu cca 1,8 miliardy osob ročně. Kvalitní veřejná doprava umožňuje ve městech omezovat IAD. Dopravní podniky s ohledem na způsob financování i způsob odpisování vozidel nemají dostatečné prostředky na nákup </w:t>
            </w:r>
            <w:r>
              <w:rPr>
                <w:rFonts w:ascii="Verdana" w:hAnsi="Verdana"/>
                <w:sz w:val="18"/>
                <w:szCs w:val="18"/>
              </w:rPr>
              <w:t xml:space="preserve">nízkoemisních</w:t>
            </w:r>
            <w:r>
              <w:rPr>
                <w:rFonts w:ascii="Verdana" w:hAnsi="Verdana"/>
                <w:sz w:val="18"/>
                <w:szCs w:val="18"/>
              </w:rPr>
              <w:t xml:space="preserve"> a bezemisních vozidel (včetně naplnění požadavků zákona 360/2022 Sb.  - </w:t>
            </w:r>
            <w:r>
              <w:rPr>
                <w:rFonts w:ascii="Verdana" w:hAnsi="Verdana"/>
                <w:i/>
                <w:iCs/>
                <w:sz w:val="18"/>
                <w:szCs w:val="18"/>
              </w:rPr>
              <w:t xml:space="preserve">Zákon o podpoře </w:t>
            </w:r>
            <w:r>
              <w:rPr>
                <w:rFonts w:ascii="Verdana" w:hAnsi="Verdana"/>
                <w:i/>
                <w:iCs/>
                <w:sz w:val="18"/>
                <w:szCs w:val="18"/>
              </w:rPr>
              <w:t xml:space="preserve">nízkoemisních</w:t>
            </w:r>
            <w:r>
              <w:rPr>
                <w:rFonts w:ascii="Verdana" w:hAnsi="Verdana"/>
                <w:i/>
                <w:iCs/>
                <w:sz w:val="18"/>
                <w:szCs w:val="18"/>
              </w:rPr>
              <w:t xml:space="preserve"> vozidel prostřednictvím zadávání veřejných zakázek a veřejných služeb v přepravě cestujících</w:t>
            </w:r>
            <w:r>
              <w:rPr>
                <w:rFonts w:ascii="Verdana" w:hAnsi="Verdana"/>
                <w:i/>
                <w:iCs/>
                <w:sz w:val="18"/>
                <w:szCs w:val="18"/>
              </w:rPr>
              <w:t xml:space="preserve">). </w:t>
            </w:r>
            <w:r>
              <w:rPr>
                <w:rFonts w:ascii="Verdana" w:hAnsi="Verdana"/>
                <w:sz w:val="18"/>
                <w:szCs w:val="18"/>
              </w:rPr>
              <w:t xml:space="preserve">Investiční dotace umožní udržet kvalitní veřejnou dopravu včetně rozvíjení stávajících bezemisních systémů = tramvajové a trolejbusové tratě</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investiční dotace</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mld. Kč ročně</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1,4,5,13</w:t>
            </w:r>
            <w:r>
              <w:rPr>
                <w:rFonts w:ascii="Verdana" w:hAnsi="Verdana"/>
                <w:sz w:val="18"/>
                <w:szCs w:val="18"/>
              </w:rPr>
            </w:r>
            <w:r>
              <w:rPr>
                <w:rFonts w:ascii="Verdana" w:hAnsi="Verdana"/>
                <w:sz w:val="18"/>
                <w:szCs w:val="18"/>
              </w:rPr>
            </w:r>
          </w:p>
        </w:tc>
      </w:tr>
      <w:tr>
        <w:trPr>
          <w:trHeight w:val="781"/>
        </w:trPr>
        <w:tc>
          <w:tcPr>
            <w:tcBorders/>
            <w:tcW w:w="2122" w:type="dxa"/>
            <w:vMerge w:val="restart"/>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vMerge w:val="restart"/>
            <w:textDirection w:val="lrTb"/>
            <w:noWrap w:val="false"/>
          </w:tcPr>
          <w:p>
            <w:pPr>
              <w:pBdr/>
              <w:spacing/>
              <w:ind/>
              <w:rPr>
                <w:rFonts w:ascii="Verdana" w:hAnsi="Verdana"/>
                <w:sz w:val="18"/>
                <w:szCs w:val="18"/>
              </w:rPr>
            </w:pPr>
            <w:r>
              <w:rPr>
                <w:rFonts w:ascii="Verdana" w:hAnsi="Verdana"/>
                <w:sz w:val="18"/>
                <w:szCs w:val="18"/>
              </w:rPr>
              <w:t xml:space="preserve">Bude kalkulována u každého vozidla individuálně</w:t>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t xml:space="preserve">ePlatforma</w:t>
      </w:r>
      <w:r>
        <w:rPr>
          <w:rFonts w:ascii="Verdana" w:hAnsi="Verdana"/>
          <w:b/>
        </w:rPr>
        <w:t xml:space="preserve"> + ČLFA</w:t>
      </w:r>
      <w:r>
        <w:rPr>
          <w:rFonts w:ascii="Verdana" w:hAnsi="Verdana"/>
          <w:b/>
        </w:rPr>
      </w:r>
      <w:r>
        <w:rPr>
          <w:rFonts w:ascii="Verdana" w:hAnsi="Verdana"/>
          <w:b/>
        </w:rPr>
      </w:r>
    </w:p>
    <w:p>
      <w:pPr>
        <w:pBdr/>
        <w:spacing/>
        <w:ind w:firstLine="708" w:left="3540"/>
        <w:rPr>
          <w:rFonts w:ascii="Verdana" w:hAnsi="Verdana"/>
          <w:b/>
        </w:rPr>
      </w:pPr>
      <w:r>
        <w:rPr>
          <w:rFonts w:ascii="Verdana" w:hAnsi="Verdana"/>
          <w:b/>
        </w:rPr>
        <w:t xml:space="preserve">PRIORITA I.</w:t>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NÁZEV OPATŘENÍ/INVESTICE</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bCs/>
                <w:sz w:val="18"/>
                <w:szCs w:val="18"/>
              </w:rPr>
            </w:pPr>
            <w:r>
              <w:rPr>
                <w:rFonts w:ascii="Verdana" w:hAnsi="Verdana"/>
                <w:b/>
                <w:bCs/>
                <w:sz w:val="18"/>
                <w:szCs w:val="18"/>
              </w:rPr>
              <w:t xml:space="preserve">Operativní leasing </w:t>
            </w:r>
            <w:r>
              <w:rPr>
                <w:rFonts w:ascii="Verdana" w:hAnsi="Verdana"/>
                <w:b/>
                <w:bCs/>
                <w:sz w:val="18"/>
                <w:szCs w:val="18"/>
              </w:rPr>
              <w:t xml:space="preserve">na BEV pro spotřebitele, živnostníky </w:t>
            </w:r>
            <w:r>
              <w:rPr>
                <w:rFonts w:ascii="Verdana" w:hAnsi="Verdana"/>
                <w:b/>
                <w:bCs/>
                <w:sz w:val="18"/>
                <w:szCs w:val="18"/>
              </w:rPr>
              <w:t xml:space="preserve">a firmy</w:t>
            </w:r>
            <w:r>
              <w:rPr>
                <w:rFonts w:ascii="Verdana" w:hAnsi="Verdana"/>
                <w:b/>
                <w:bCs/>
                <w:sz w:val="18"/>
                <w:szCs w:val="18"/>
              </w:rPr>
              <w:t xml:space="preserve"> se sociálním programem, příp. vč. podpory na </w:t>
            </w:r>
            <w:r>
              <w:rPr>
                <w:rFonts w:ascii="Verdana" w:hAnsi="Verdana"/>
                <w:b/>
                <w:bCs/>
                <w:sz w:val="18"/>
                <w:szCs w:val="18"/>
              </w:rPr>
              <w:t xml:space="preserve">wallbox</w:t>
            </w:r>
            <w:r>
              <w:rPr>
                <w:rFonts w:ascii="Verdana" w:hAnsi="Verdana"/>
                <w:b/>
                <w:bCs/>
                <w:sz w:val="18"/>
                <w:szCs w:val="18"/>
              </w:rPr>
              <w:t xml:space="preserve">, zajištění služeb spojených s užíváním vozidla </w:t>
            </w:r>
            <w:r>
              <w:rPr>
                <w:rFonts w:ascii="Verdana" w:hAnsi="Verdana"/>
                <w:b/>
                <w:bCs/>
                <w:sz w:val="18"/>
                <w:szCs w:val="18"/>
              </w:rPr>
            </w:r>
            <w:r>
              <w:rPr>
                <w:rFonts w:ascii="Verdana" w:hAnsi="Verdana"/>
                <w:b/>
                <w:bCs/>
                <w:sz w:val="18"/>
                <w:szCs w:val="18"/>
              </w:rPr>
            </w:r>
          </w:p>
        </w:tc>
      </w:tr>
      <w:tr>
        <w:trPr>
          <w:trHeight w:val="983"/>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dopravy do zaměstnání nebo dopravy za klienty (v případě podnikatele) pro klienty v odlehlých lokalitách, kde není dostupná standardní obslužná i</w:t>
            </w:r>
            <w:r>
              <w:rPr>
                <w:rFonts w:ascii="Verdana" w:hAnsi="Verdana"/>
                <w:sz w:val="18"/>
                <w:szCs w:val="18"/>
              </w:rPr>
              <w:t xml:space="preserve">n</w:t>
            </w:r>
            <w:r>
              <w:rPr>
                <w:rFonts w:ascii="Verdana" w:hAnsi="Verdana"/>
                <w:sz w:val="18"/>
                <w:szCs w:val="18"/>
              </w:rPr>
              <w:t xml:space="preserve">frastruktura. Podmínkou je standardní příjem klienta, který by dosáhl minimálně na ojeté automobily obdobné kategorie. Cílem je zajistit, aby nedošlo k vylidnění těchto regionů a zároveň k náhradě ekologicky nevyhovujících vozidel za BEV. </w:t>
            </w:r>
            <w:r>
              <w:rPr>
                <w:rFonts w:ascii="Verdana" w:hAnsi="Verdana"/>
                <w:sz w:val="18"/>
                <w:szCs w:val="18"/>
              </w:rPr>
              <w:t xml:space="preserve">Minimální doba udržitelnosti alespoň 3 roky, po kterou zákazník musí plnit stanovené podmínky, nebude v průběhu doby udržitelnosti docházet k přehodnocení kritérií, za kterých byl produkt poskytnut.</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Sankce za nedodržení doby udržitelnosti musí být závazkem koncového zákazníka, nikoliv pronajímatele.</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Příspěvek na mobilitu pro klienta, přenášený formou sníženého </w:t>
            </w:r>
            <w:r>
              <w:rPr>
                <w:rFonts w:ascii="Verdana" w:hAnsi="Verdana"/>
                <w:sz w:val="18"/>
                <w:szCs w:val="18"/>
              </w:rPr>
              <w:t xml:space="preserve">nájmu od leasingové společnosti. Pro leasingovou společnost (LS) jednorázový příspěvek formou ponížení vstupní ceny vozidla, alternativně příspěvek na budoucí splátky (který je nutné na straně LS časově rozlišit a v případě ukončení zúčtovat poskytovateli)</w:t>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Cs/>
                <w:sz w:val="18"/>
                <w:szCs w:val="18"/>
              </w:rPr>
            </w:pPr>
            <w:r>
              <w:rPr>
                <w:rFonts w:ascii="Verdana" w:hAnsi="Verdana"/>
                <w:b/>
                <w:sz w:val="18"/>
                <w:szCs w:val="18"/>
              </w:rPr>
              <w:t xml:space="preserve">Odhad nákladů: 1 mld. </w:t>
            </w:r>
            <w:r>
              <w:rPr>
                <w:rFonts w:ascii="Verdana" w:hAnsi="Verdana"/>
                <w:b/>
                <w:sz w:val="18"/>
                <w:szCs w:val="18"/>
              </w:rPr>
              <w:t xml:space="preserve">Kč /rok</w:t>
            </w:r>
            <w:r>
              <w:rPr>
                <w:rFonts w:ascii="Verdana" w:hAnsi="Verdana"/>
                <w:b/>
                <w:sz w:val="18"/>
                <w:szCs w:val="18"/>
              </w:rPr>
              <w:t xml:space="preserve">, </w:t>
            </w:r>
            <w:r>
              <w:rPr>
                <w:rFonts w:ascii="Verdana" w:hAnsi="Verdana"/>
                <w:bCs/>
                <w:sz w:val="18"/>
                <w:szCs w:val="18"/>
              </w:rPr>
              <w:t xml:space="preserve">tj. pro</w:t>
            </w:r>
            <w:r>
              <w:rPr>
                <w:rFonts w:ascii="Verdana" w:hAnsi="Verdana"/>
                <w:bCs/>
                <w:i/>
                <w:iCs/>
                <w:sz w:val="18"/>
                <w:szCs w:val="18"/>
              </w:rPr>
              <w:t xml:space="preserve"> období 2026-</w:t>
            </w:r>
            <w:r>
              <w:rPr>
                <w:rFonts w:ascii="Verdana" w:hAnsi="Verdana"/>
                <w:bCs/>
                <w:i/>
                <w:iCs/>
                <w:sz w:val="18"/>
                <w:szCs w:val="18"/>
              </w:rPr>
              <w:t xml:space="preserve">27 – 2032</w:t>
            </w:r>
            <w:r>
              <w:rPr>
                <w:rFonts w:ascii="Verdana" w:hAnsi="Verdana"/>
                <w:bCs/>
                <w:i/>
                <w:iCs/>
                <w:sz w:val="18"/>
                <w:szCs w:val="18"/>
              </w:rPr>
              <w:t xml:space="preserve">-33</w:t>
            </w:r>
            <w:r>
              <w:rPr>
                <w:rFonts w:ascii="Verdana" w:hAnsi="Verdana"/>
                <w:bCs/>
                <w:sz w:val="18"/>
                <w:szCs w:val="18"/>
              </w:rPr>
              <w:t xml:space="preserve"> celkem cca 6 mld. Kč </w:t>
            </w:r>
            <w:r>
              <w:rPr>
                <w:rFonts w:ascii="Verdana" w:hAnsi="Verdana"/>
                <w:bCs/>
                <w:sz w:val="18"/>
                <w:szCs w:val="18"/>
              </w:rPr>
            </w:r>
            <w:r>
              <w:rPr>
                <w:rFonts w:ascii="Verdana" w:hAnsi="Verdana"/>
                <w:bCs/>
                <w:sz w:val="18"/>
                <w:szCs w:val="18"/>
              </w:rPr>
            </w:r>
          </w:p>
          <w:p>
            <w:pPr>
              <w:pBdr/>
              <w:spacing/>
              <w:ind/>
              <w:rPr>
                <w:rFonts w:ascii="Verdana" w:hAnsi="Verdana"/>
                <w:sz w:val="18"/>
                <w:szCs w:val="18"/>
              </w:rPr>
            </w:pPr>
            <w:r>
              <w:rPr>
                <w:rFonts w:ascii="Verdana" w:hAnsi="Verdana"/>
                <w:sz w:val="18"/>
                <w:szCs w:val="18"/>
              </w:rPr>
              <w:t xml:space="preserve">Absorpční  kapacita</w:t>
            </w:r>
            <w:r>
              <w:rPr>
                <w:rFonts w:ascii="Verdana" w:hAnsi="Verdana"/>
                <w:sz w:val="18"/>
                <w:szCs w:val="18"/>
              </w:rPr>
              <w:t xml:space="preserve"> je závislá od podmínek, které by byly stanoveny. Roční příspěvek na mobilitu na 1 auto cca 125 tis. Kč, na 3 roky minimálně cca 375 tis. Kč / auto. Pro potenciál 2 500 vozidel je to minimálně 1 mld. Kč /rok </w:t>
            </w:r>
            <w:r>
              <w:rPr>
                <w:rFonts w:ascii="Verdana" w:hAnsi="Verdana"/>
                <w:sz w:val="18"/>
                <w:szCs w:val="18"/>
              </w:rPr>
            </w:r>
            <w:r>
              <w:rPr>
                <w:rFonts w:ascii="Verdana" w:hAnsi="Verdana"/>
                <w:sz w:val="18"/>
                <w:szCs w:val="18"/>
              </w:rPr>
            </w:r>
          </w:p>
          <w:p>
            <w:pPr>
              <w:pBdr/>
              <w:spacing/>
              <w:ind/>
              <w:rPr>
                <w:rFonts w:ascii="Verdana" w:hAnsi="Verdana"/>
                <w:b/>
                <w:sz w:val="18"/>
                <w:szCs w:val="18"/>
              </w:rPr>
            </w:pPr>
            <w:r>
              <w:rPr>
                <w:rFonts w:ascii="Verdana" w:hAnsi="Verdana"/>
                <w:b/>
                <w:sz w:val="18"/>
                <w:szCs w:val="18"/>
              </w:rPr>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provozní příspěvek na dopravu</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Vazba na identifikátor: 1, 2, 4</w:t>
            </w:r>
            <w:r>
              <w:rPr>
                <w:rFonts w:ascii="Verdana" w:hAnsi="Verdana"/>
                <w:sz w:val="18"/>
                <w:szCs w:val="18"/>
              </w:rPr>
              <w:t xml:space="preserve">, 11, 13, 15</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Při předpokladu leasingu 2 500 bezemisních vozidel za rok, průměrných emisích spalovacího</w:t>
            </w:r>
            <w:r>
              <w:rPr>
                <w:rFonts w:ascii="Verdana" w:hAnsi="Verdana"/>
                <w:sz w:val="18"/>
                <w:szCs w:val="18"/>
              </w:rPr>
              <w:t xml:space="preserve"> vozu využívaného uvažovanou kategorií uživatelů 140 g CO2 na km a odhadovaném ročním nájezdu 10 000 km činí úspora emisí CO2 3 500 t za rok. V dalších letech podpory bude úspora emisí CO2 kumulativně růst, jak budou přibývat další nová bezemisní vozidla. </w:t>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firstLine="708" w:left="3540"/>
        <w:rPr>
          <w:rFonts w:ascii="Verdana" w:hAnsi="Verdana"/>
          <w:b/>
        </w:rPr>
      </w:pPr>
      <w:r>
        <w:rPr>
          <w:rFonts w:ascii="Verdana" w:hAnsi="Verdana"/>
          <w:b/>
        </w:rPr>
        <w:t xml:space="preserve">PRIORITA II. </w:t>
      </w:r>
      <w:r>
        <w:rPr>
          <w:rFonts w:ascii="Verdana" w:hAnsi="Verdana"/>
          <w:b/>
        </w:rPr>
      </w:r>
      <w:r>
        <w:rPr>
          <w:rFonts w:ascii="Verdana" w:hAnsi="Verdana"/>
          <w:b/>
        </w:rPr>
      </w:r>
    </w:p>
    <w:p>
      <w:pPr>
        <w:pBdr/>
        <w:spacing/>
        <w:ind/>
        <w:rPr>
          <w:rFonts w:ascii="Verdana" w:hAnsi="Verdana"/>
          <w:bCs/>
        </w:rPr>
      </w:pPr>
      <w:r>
        <w:rPr>
          <w:rFonts w:ascii="Verdana" w:hAnsi="Verdana"/>
          <w:bCs/>
        </w:rPr>
        <w:t xml:space="preserve">(odpovídá návrhu opatření Národního akčního plánu Čistá </w:t>
      </w:r>
      <w:r>
        <w:rPr>
          <w:rFonts w:ascii="Verdana" w:hAnsi="Verdana"/>
          <w:bCs/>
        </w:rPr>
        <w:t xml:space="preserve">mobilita </w:t>
      </w:r>
      <w:r>
        <w:rPr>
          <w:rFonts w:ascii="Verdana" w:hAnsi="Verdana"/>
          <w:bCs/>
        </w:rPr>
        <w:t xml:space="preserve">- </w:t>
      </w:r>
      <w:r>
        <w:rPr>
          <w:rFonts w:ascii="Verdana" w:hAnsi="Verdana"/>
          <w:bCs/>
        </w:rPr>
        <w:t xml:space="preserve">NAP</w:t>
      </w:r>
      <w:r>
        <w:rPr>
          <w:rFonts w:ascii="Verdana" w:hAnsi="Verdana"/>
          <w:bCs/>
        </w:rPr>
        <w:t xml:space="preserve"> ČM)</w:t>
      </w:r>
      <w:r>
        <w:rPr>
          <w:rFonts w:ascii="Verdana" w:hAnsi="Verdana"/>
          <w:bCs/>
        </w:rPr>
      </w:r>
      <w:r>
        <w:rPr>
          <w:rFonts w:ascii="Verdana" w:hAnsi="Verdana"/>
          <w:bCs/>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NÁZEV OPATŘENÍ/INVESTICE</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bCs/>
                <w:sz w:val="18"/>
                <w:szCs w:val="18"/>
              </w:rPr>
            </w:pPr>
            <w:r>
              <w:rPr>
                <w:rFonts w:ascii="Verdana" w:hAnsi="Verdana"/>
                <w:b/>
                <w:bCs/>
                <w:sz w:val="18"/>
                <w:szCs w:val="18"/>
              </w:rPr>
              <w:t xml:space="preserve">Podpora car-</w:t>
            </w:r>
            <w:r>
              <w:rPr>
                <w:rFonts w:ascii="Verdana" w:hAnsi="Verdana"/>
                <w:b/>
                <w:bCs/>
                <w:sz w:val="18"/>
                <w:szCs w:val="18"/>
              </w:rPr>
              <w:t xml:space="preserve">sharingu</w:t>
            </w:r>
            <w:r>
              <w:rPr>
                <w:rFonts w:ascii="Verdana" w:hAnsi="Verdana"/>
                <w:b/>
                <w:bCs/>
                <w:sz w:val="18"/>
                <w:szCs w:val="18"/>
              </w:rPr>
              <w:t xml:space="preserve"> s využitím vozidel BEV </w:t>
            </w:r>
            <w:r>
              <w:rPr>
                <w:rFonts w:ascii="Verdana" w:hAnsi="Verdana"/>
                <w:b/>
                <w:bCs/>
                <w:sz w:val="18"/>
                <w:szCs w:val="18"/>
              </w:rPr>
            </w:r>
            <w:r>
              <w:rPr>
                <w:rFonts w:ascii="Verdana" w:hAnsi="Verdana"/>
                <w:b/>
                <w:bCs/>
                <w:sz w:val="18"/>
                <w:szCs w:val="18"/>
              </w:rPr>
            </w:r>
          </w:p>
        </w:tc>
      </w:tr>
      <w:tr>
        <w:trPr>
          <w:trHeight w:val="983"/>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Style w:val="896"/>
              <w:pBdr/>
              <w:spacing w:before="60" w:line="240" w:lineRule="auto"/>
              <w:ind/>
              <w:rPr>
                <w:rFonts w:ascii="Verdana" w:hAnsi="Verdana" w:eastAsiaTheme="minorHAnsi" w:cstheme="minorBidi"/>
                <w:sz w:val="18"/>
                <w:szCs w:val="18"/>
                <w:lang w:eastAsia="en-US"/>
              </w:rPr>
            </w:pPr>
            <w:r>
              <w:rPr>
                <w:rFonts w:ascii="Verdana" w:hAnsi="Verdana" w:eastAsiaTheme="minorHAnsi" w:cstheme="minorBidi"/>
                <w:sz w:val="18"/>
                <w:szCs w:val="18"/>
                <w:lang w:eastAsia="en-US"/>
              </w:rPr>
              <w:t xml:space="preserve">Sdílení automobilů (tzv. </w:t>
            </w:r>
            <w:r>
              <w:rPr>
                <w:rFonts w:ascii="Verdana" w:hAnsi="Verdana" w:eastAsiaTheme="minorHAnsi" w:cstheme="minorBidi"/>
                <w:sz w:val="18"/>
                <w:szCs w:val="18"/>
                <w:lang w:eastAsia="en-US"/>
              </w:rPr>
              <w:t xml:space="preserve">carsharing</w:t>
            </w:r>
            <w:r>
              <w:rPr>
                <w:rFonts w:ascii="Verdana" w:hAnsi="Verdana" w:eastAsiaTheme="minorHAnsi" w:cstheme="minorBidi"/>
                <w:sz w:val="18"/>
                <w:szCs w:val="18"/>
                <w:lang w:eastAsia="en-US"/>
              </w:rPr>
              <w:t xml:space="preserve">) umožňuje lidem využívat auta tehdy, když je skutečně potřebují, redukuje potřebu vlastnit osobní automobil a s tím uvolňuje veřejný prostor a umožňuje vyhnout se nákladům na provoz a</w:t>
            </w:r>
            <w:r>
              <w:rPr>
                <w:rFonts w:ascii="Verdana" w:hAnsi="Verdana" w:eastAsiaTheme="minorHAnsi" w:cstheme="minorBidi"/>
                <w:sz w:val="18"/>
                <w:szCs w:val="18"/>
                <w:lang w:eastAsia="en-US"/>
              </w:rPr>
              <w:t xml:space="preserve"> </w:t>
            </w:r>
            <w:r>
              <w:rPr>
                <w:rFonts w:ascii="Verdana" w:hAnsi="Verdana" w:eastAsiaTheme="minorHAnsi" w:cstheme="minorBidi"/>
                <w:sz w:val="18"/>
                <w:szCs w:val="18"/>
                <w:lang w:eastAsia="en-US"/>
              </w:rPr>
              <w:t xml:space="preserve">údržbu vlast</w:t>
            </w:r>
            <w:r>
              <w:rPr>
                <w:rFonts w:ascii="Verdana" w:hAnsi="Verdana" w:eastAsiaTheme="minorHAnsi" w:cstheme="minorBidi"/>
                <w:sz w:val="18"/>
                <w:szCs w:val="18"/>
                <w:lang w:eastAsia="en-US"/>
              </w:rPr>
              <w:t xml:space="preserve">ního osobního vozidla. Tím se výrazně snižuje finanční zátěž osob s nízkými příjmy, starších osob, a čistá mobilita se tak stává dostupnější a pomůže překlenout rozdíly ve společnosti a poskytnout udržitelná dopravní řešení pro všechny skupiny společnosti.</w:t>
            </w:r>
            <w:r>
              <w:rPr>
                <w:rFonts w:ascii="Verdana" w:hAnsi="Verdana" w:eastAsiaTheme="minorHAnsi" w:cstheme="minorBidi"/>
                <w:sz w:val="18"/>
                <w:szCs w:val="18"/>
                <w:lang w:eastAsia="en-US"/>
              </w:rPr>
            </w:r>
            <w:r>
              <w:rPr>
                <w:rFonts w:ascii="Verdana" w:hAnsi="Verdana" w:eastAsiaTheme="minorHAnsi" w:cstheme="minorBidi"/>
                <w:sz w:val="18"/>
                <w:szCs w:val="18"/>
                <w:lang w:eastAsia="en-US"/>
              </w:rPr>
            </w:r>
          </w:p>
          <w:p>
            <w:pPr>
              <w:pBdr/>
              <w:spacing/>
              <w:ind/>
              <w:rPr>
                <w:rFonts w:ascii="Verdana" w:hAnsi="Verdana"/>
                <w:sz w:val="18"/>
                <w:szCs w:val="18"/>
              </w:rPr>
            </w:pPr>
            <w:r>
              <w:rPr>
                <w:rFonts w:ascii="Verdana" w:hAnsi="Verdana"/>
                <w:sz w:val="18"/>
                <w:szCs w:val="18"/>
              </w:rPr>
              <w:t xml:space="preserve">Služby sdílení </w:t>
            </w:r>
            <w:r>
              <w:rPr>
                <w:rFonts w:ascii="Verdana" w:hAnsi="Verdana"/>
                <w:sz w:val="18"/>
                <w:szCs w:val="18"/>
              </w:rPr>
              <w:t xml:space="preserve">elektromobilů</w:t>
            </w:r>
            <w:r>
              <w:rPr>
                <w:rFonts w:ascii="Verdana" w:hAnsi="Verdana"/>
                <w:sz w:val="18"/>
                <w:szCs w:val="18"/>
              </w:rPr>
              <w:t xml:space="preserve"> mohou hrát zásadní roli při zajištění dostupnosti čisté mobility pro zranitelné skupiny obyvatelstva. A to i v periferních a venkovských oblastech, kam přinesou chybějící variabilitu v přepravě.</w:t>
            </w:r>
            <w:r>
              <w:rPr>
                <w:rFonts w:ascii="Verdana" w:hAnsi="Verdana"/>
                <w:sz w:val="18"/>
                <w:szCs w:val="18"/>
              </w:rPr>
            </w:r>
            <w:r>
              <w:rPr>
                <w:rFonts w:ascii="Verdana" w:hAnsi="Verdana"/>
                <w:sz w:val="18"/>
                <w:szCs w:val="18"/>
              </w:rPr>
            </w:r>
          </w:p>
          <w:p>
            <w:pPr>
              <w:pStyle w:val="896"/>
              <w:pBdr/>
              <w:spacing w:before="60" w:line="240" w:lineRule="auto"/>
              <w:ind/>
              <w:rPr>
                <w:rFonts w:ascii="Verdana" w:hAnsi="Verdana" w:eastAsiaTheme="minorHAnsi" w:cstheme="minorBidi"/>
                <w:sz w:val="18"/>
                <w:szCs w:val="18"/>
                <w:lang w:eastAsia="en-US"/>
              </w:rPr>
            </w:pPr>
            <w:r>
              <w:rPr>
                <w:rFonts w:ascii="Verdana" w:hAnsi="Verdana" w:eastAsiaTheme="minorHAnsi" w:cstheme="minorBidi"/>
                <w:sz w:val="18"/>
                <w:szCs w:val="18"/>
                <w:lang w:eastAsia="en-US"/>
              </w:rPr>
              <w:t xml:space="preserve">V současné době mimo velká města nejsou </w:t>
            </w:r>
            <w:r>
              <w:rPr>
                <w:rFonts w:ascii="Verdana" w:hAnsi="Verdana" w:eastAsiaTheme="minorHAnsi" w:cstheme="minorBidi"/>
                <w:sz w:val="18"/>
                <w:szCs w:val="18"/>
                <w:lang w:eastAsia="en-US"/>
              </w:rPr>
              <w:t xml:space="preserve">e-</w:t>
            </w:r>
            <w:r>
              <w:rPr>
                <w:rFonts w:ascii="Verdana" w:hAnsi="Verdana" w:eastAsiaTheme="minorHAnsi" w:cstheme="minorBidi"/>
                <w:sz w:val="18"/>
                <w:szCs w:val="18"/>
                <w:lang w:eastAsia="en-US"/>
              </w:rPr>
              <w:t xml:space="preserve">carsharingové</w:t>
            </w:r>
            <w:r>
              <w:rPr>
                <w:rFonts w:ascii="Verdana" w:hAnsi="Verdana" w:eastAsiaTheme="minorHAnsi" w:cstheme="minorBidi"/>
                <w:sz w:val="18"/>
                <w:szCs w:val="18"/>
                <w:lang w:eastAsia="en-US"/>
              </w:rPr>
              <w:t xml:space="preserve"> služby </w:t>
            </w:r>
            <w:r>
              <w:rPr>
                <w:rFonts w:ascii="Verdana" w:hAnsi="Verdana" w:eastAsiaTheme="minorHAnsi" w:cstheme="minorBidi"/>
                <w:sz w:val="18"/>
                <w:szCs w:val="18"/>
                <w:lang w:eastAsia="en-US"/>
              </w:rPr>
              <w:t xml:space="preserve">rentabilní a tedy </w:t>
            </w:r>
            <w:r>
              <w:rPr>
                <w:rFonts w:ascii="Verdana" w:hAnsi="Verdana" w:eastAsiaTheme="minorHAnsi" w:cstheme="minorBidi"/>
                <w:sz w:val="18"/>
                <w:szCs w:val="18"/>
                <w:lang w:eastAsia="en-US"/>
              </w:rPr>
              <w:t xml:space="preserve">dostupné, navíc spuště</w:t>
            </w:r>
            <w:r>
              <w:rPr>
                <w:rFonts w:ascii="Verdana" w:hAnsi="Verdana" w:eastAsiaTheme="minorHAnsi" w:cstheme="minorBidi"/>
                <w:sz w:val="18"/>
                <w:szCs w:val="18"/>
                <w:lang w:eastAsia="en-US"/>
              </w:rPr>
              <w:t xml:space="preserve">ní EU ETS2 na sektor budov a dopravy může neúměrně zvednout cenu fosilních paliv, a tím zvýšit náklady na provoz vlastního automobilu. To může akcelerovat vyšší ohrožení jedinců či domácností dopravní chudobou. Pro některé skupiny obyvatel pořízení nového </w:t>
            </w:r>
            <w:r>
              <w:rPr>
                <w:rFonts w:ascii="Verdana" w:hAnsi="Verdana" w:eastAsiaTheme="minorHAnsi" w:cstheme="minorBidi"/>
                <w:sz w:val="18"/>
                <w:szCs w:val="18"/>
                <w:lang w:eastAsia="en-US"/>
              </w:rPr>
              <w:t xml:space="preserve">elektromobilů za hotové ani na operativní leasing</w:t>
            </w:r>
            <w:r>
              <w:rPr>
                <w:rFonts w:ascii="Verdana" w:hAnsi="Verdana" w:eastAsiaTheme="minorHAnsi" w:cstheme="minorBidi"/>
                <w:sz w:val="18"/>
                <w:szCs w:val="18"/>
                <w:lang w:eastAsia="en-US"/>
              </w:rPr>
              <w:t xml:space="preserve"> nemusí být finančně možné. </w:t>
            </w:r>
            <w:r>
              <w:rPr>
                <w:rFonts w:ascii="Verdana" w:hAnsi="Verdana" w:eastAsiaTheme="minorHAnsi" w:cstheme="minorBidi"/>
                <w:sz w:val="18"/>
                <w:szCs w:val="18"/>
                <w:lang w:eastAsia="en-US"/>
              </w:rPr>
              <w:t xml:space="preserve">Carsharingová</w:t>
            </w:r>
            <w:r>
              <w:rPr>
                <w:rFonts w:ascii="Verdana" w:hAnsi="Verdana" w:eastAsiaTheme="minorHAnsi" w:cstheme="minorBidi"/>
                <w:sz w:val="18"/>
                <w:szCs w:val="18"/>
                <w:lang w:eastAsia="en-US"/>
              </w:rPr>
              <w:t xml:space="preserve"> služba by mohla umožnit přístup k čisté mobilitě všem, zejm. zranitelným skupinám obyvatel. </w:t>
            </w:r>
            <w:r>
              <w:rPr>
                <w:rFonts w:ascii="Verdana" w:hAnsi="Verdana" w:eastAsiaTheme="minorHAnsi" w:cstheme="minorBidi"/>
                <w:sz w:val="18"/>
                <w:szCs w:val="18"/>
                <w:lang w:eastAsia="en-US"/>
              </w:rPr>
            </w:r>
            <w:r>
              <w:rPr>
                <w:rFonts w:ascii="Verdana" w:hAnsi="Verdana" w:eastAsiaTheme="minorHAnsi" w:cstheme="minorBidi"/>
                <w:sz w:val="18"/>
                <w:szCs w:val="18"/>
                <w:lang w:eastAsia="en-US"/>
              </w:rPr>
            </w:r>
          </w:p>
          <w:p>
            <w:pPr>
              <w:pStyle w:val="896"/>
              <w:pBdr/>
              <w:spacing w:before="60" w:line="240" w:lineRule="auto"/>
              <w:ind/>
              <w:jc w:val="left"/>
              <w:rPr>
                <w:rFonts w:ascii="Verdana" w:hAnsi="Verdana"/>
                <w:sz w:val="18"/>
                <w:szCs w:val="18"/>
              </w:rPr>
            </w:pPr>
            <w:r>
              <w:rPr>
                <w:rFonts w:ascii="Verdana" w:hAnsi="Verdana" w:eastAsiaTheme="minorHAnsi" w:cstheme="minorBidi"/>
                <w:sz w:val="18"/>
                <w:szCs w:val="18"/>
                <w:lang w:eastAsia="en-US"/>
              </w:rPr>
              <w:t xml:space="preserve">Důležité bude zmapovat možnosti a mechanismy pro zavedení a fungování systému e-</w:t>
            </w:r>
            <w:r>
              <w:rPr>
                <w:rFonts w:ascii="Verdana" w:hAnsi="Verdana" w:eastAsiaTheme="minorHAnsi" w:cstheme="minorBidi"/>
                <w:sz w:val="18"/>
                <w:szCs w:val="18"/>
                <w:lang w:eastAsia="en-US"/>
              </w:rPr>
              <w:t xml:space="preserve">carsharingu</w:t>
            </w:r>
            <w:r>
              <w:rPr>
                <w:rFonts w:ascii="Verdana" w:hAnsi="Verdana" w:eastAsiaTheme="minorHAnsi" w:cstheme="minorBidi"/>
                <w:sz w:val="18"/>
                <w:szCs w:val="18"/>
                <w:lang w:eastAsia="en-US"/>
              </w:rPr>
              <w:t xml:space="preserve"> v obcích v ČR, které budou nabízet sdílení vozidel nap</w:t>
            </w:r>
            <w:r>
              <w:rPr>
                <w:rFonts w:ascii="Verdana" w:hAnsi="Verdana" w:eastAsiaTheme="minorHAnsi" w:cstheme="minorBidi"/>
                <w:sz w:val="18"/>
                <w:szCs w:val="18"/>
                <w:lang w:eastAsia="en-US"/>
              </w:rPr>
              <w:t xml:space="preserve">ř. formou partnerské dohody/smlouvy se soukromou firmou, příp. operativního leasingu nebo dalších finančních mechanismů (senior taxi, dopravní služby pro zranitelné skupiny obyvatel, poptávkové služby) pod záštitou obcí, měst či regionů. Dále by na systém </w:t>
            </w:r>
            <w:r>
              <w:rPr>
                <w:rFonts w:ascii="Verdana" w:hAnsi="Verdana" w:eastAsiaTheme="minorHAnsi" w:cstheme="minorBidi"/>
                <w:sz w:val="18"/>
                <w:szCs w:val="18"/>
                <w:lang w:eastAsia="en-US"/>
              </w:rPr>
              <w:t xml:space="preserve">carsharingu</w:t>
            </w:r>
            <w:r>
              <w:rPr>
                <w:rFonts w:ascii="Verdana" w:hAnsi="Verdana" w:eastAsiaTheme="minorHAnsi" w:cstheme="minorBidi"/>
                <w:sz w:val="18"/>
                <w:szCs w:val="18"/>
                <w:lang w:eastAsia="en-US"/>
              </w:rPr>
              <w:t xml:space="preserve"> mohla navazovat řada sociálních podpor za účelem zpřístupnit levnější e-</w:t>
            </w:r>
            <w:r>
              <w:rPr>
                <w:rFonts w:ascii="Verdana" w:hAnsi="Verdana" w:eastAsiaTheme="minorHAnsi" w:cstheme="minorBidi"/>
                <w:sz w:val="18"/>
                <w:szCs w:val="18"/>
                <w:lang w:eastAsia="en-US"/>
              </w:rPr>
              <w:t xml:space="preserve">carsharingové</w:t>
            </w:r>
            <w:r>
              <w:rPr>
                <w:rFonts w:ascii="Verdana" w:hAnsi="Verdana" w:eastAsiaTheme="minorHAnsi" w:cstheme="minorBidi"/>
                <w:sz w:val="18"/>
                <w:szCs w:val="18"/>
                <w:lang w:eastAsia="en-US"/>
              </w:rPr>
              <w:t xml:space="preserve"> služby pro nízkopříjmové a zranitelné skupiny</w:t>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 prostředků SKF bude dotován provoz e-</w:t>
            </w:r>
            <w:r>
              <w:rPr>
                <w:rFonts w:ascii="Verdana" w:hAnsi="Verdana"/>
                <w:sz w:val="18"/>
                <w:szCs w:val="18"/>
              </w:rPr>
              <w:t xml:space="preserve">carsharingových</w:t>
            </w:r>
            <w:r>
              <w:rPr>
                <w:rFonts w:ascii="Verdana" w:hAnsi="Verdana"/>
                <w:sz w:val="18"/>
                <w:szCs w:val="18"/>
              </w:rPr>
              <w:t xml:space="preserve"> služeb na úrovni </w:t>
            </w:r>
            <w:r>
              <w:rPr>
                <w:rFonts w:ascii="Verdana" w:hAnsi="Verdana"/>
                <w:sz w:val="18"/>
                <w:szCs w:val="18"/>
              </w:rPr>
              <w:t xml:space="preserve">obcí - příspěvek</w:t>
            </w:r>
            <w:r>
              <w:rPr>
                <w:rFonts w:ascii="Verdana" w:hAnsi="Verdana"/>
                <w:sz w:val="18"/>
                <w:szCs w:val="18"/>
              </w:rPr>
              <w:t xml:space="preserve"> na vozidlo pořízené za hotové či na operativní leasing, případně také dotace na dobíjecí stanice.</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Cs/>
                <w:i/>
                <w:iCs/>
                <w:sz w:val="18"/>
                <w:szCs w:val="18"/>
              </w:rPr>
            </w:pPr>
            <w:r>
              <w:rPr>
                <w:rFonts w:ascii="Verdana" w:hAnsi="Verdana"/>
                <w:bCs/>
                <w:i/>
                <w:iCs/>
                <w:sz w:val="18"/>
                <w:szCs w:val="18"/>
              </w:rPr>
              <w:t xml:space="preserve">Potřeba zanalyzovat</w:t>
            </w:r>
            <w:r>
              <w:rPr>
                <w:rFonts w:ascii="Verdana" w:hAnsi="Verdana"/>
                <w:b/>
                <w:i/>
                <w:iCs/>
                <w:sz w:val="18"/>
                <w:szCs w:val="18"/>
              </w:rPr>
              <w:t xml:space="preserve"> </w:t>
            </w:r>
            <w:r>
              <w:rPr>
                <w:rFonts w:ascii="Verdana" w:hAnsi="Verdana"/>
                <w:bCs/>
                <w:i/>
                <w:iCs/>
                <w:sz w:val="18"/>
                <w:szCs w:val="18"/>
              </w:rPr>
              <w:t xml:space="preserve">(velmi hrubý odhad: 1 mld. Kč /rok v období 20</w:t>
            </w:r>
            <w:r>
              <w:rPr>
                <w:rFonts w:ascii="Verdana" w:hAnsi="Verdana"/>
                <w:bCs/>
                <w:i/>
                <w:iCs/>
                <w:sz w:val="18"/>
                <w:szCs w:val="18"/>
              </w:rPr>
              <w:t xml:space="preserve">26-</w:t>
            </w:r>
            <w:r>
              <w:rPr>
                <w:rFonts w:ascii="Verdana" w:hAnsi="Verdana"/>
                <w:bCs/>
                <w:i/>
                <w:iCs/>
                <w:sz w:val="18"/>
                <w:szCs w:val="18"/>
              </w:rPr>
              <w:t xml:space="preserve">27 – 20</w:t>
            </w:r>
            <w:r>
              <w:rPr>
                <w:rFonts w:ascii="Verdana" w:hAnsi="Verdana"/>
                <w:bCs/>
                <w:i/>
                <w:iCs/>
                <w:sz w:val="18"/>
                <w:szCs w:val="18"/>
              </w:rPr>
              <w:t xml:space="preserve">32</w:t>
            </w:r>
            <w:r>
              <w:rPr>
                <w:rFonts w:ascii="Verdana" w:hAnsi="Verdana"/>
                <w:bCs/>
                <w:i/>
                <w:iCs/>
                <w:sz w:val="18"/>
                <w:szCs w:val="18"/>
              </w:rPr>
              <w:t xml:space="preserve">-3</w:t>
            </w:r>
            <w:r>
              <w:rPr>
                <w:rFonts w:ascii="Verdana" w:hAnsi="Verdana"/>
                <w:bCs/>
                <w:i/>
                <w:iCs/>
                <w:sz w:val="18"/>
                <w:szCs w:val="18"/>
              </w:rPr>
              <w:t xml:space="preserve">3, tj. celkem cca </w:t>
            </w:r>
            <w:r>
              <w:rPr>
                <w:rFonts w:ascii="Verdana" w:hAnsi="Verdana"/>
                <w:bCs/>
                <w:i/>
                <w:iCs/>
                <w:sz w:val="18"/>
                <w:szCs w:val="18"/>
              </w:rPr>
              <w:t xml:space="preserve">6</w:t>
            </w:r>
            <w:r>
              <w:rPr>
                <w:rFonts w:ascii="Verdana" w:hAnsi="Verdana"/>
                <w:bCs/>
                <w:i/>
                <w:iCs/>
                <w:sz w:val="18"/>
                <w:szCs w:val="18"/>
              </w:rPr>
              <w:t xml:space="preserve"> miliard Kč)</w:t>
            </w:r>
            <w:r>
              <w:rPr>
                <w:rFonts w:ascii="Verdana" w:hAnsi="Verdana"/>
                <w:bCs/>
                <w:i/>
                <w:iCs/>
                <w:sz w:val="18"/>
                <w:szCs w:val="18"/>
              </w:rPr>
            </w:r>
            <w:r>
              <w:rPr>
                <w:rFonts w:ascii="Verdana" w:hAnsi="Verdana"/>
                <w:bCs/>
                <w:i/>
                <w:iCs/>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Vazba na identifikátor: </w:t>
            </w:r>
            <w:r>
              <w:rPr>
                <w:rFonts w:ascii="Verdana" w:hAnsi="Verdana"/>
                <w:sz w:val="18"/>
                <w:szCs w:val="18"/>
              </w:rPr>
              <w:t xml:space="preserve">1,2,4, 9, 11, 12, 13</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Územní dimenze: odlehlé regiony, vnitřní/vnější periferie = oblasti s nízkou obslužností VHD (1), kde hrozí dopravní chudoba</w:t>
            </w:r>
            <w:r>
              <w:rPr>
                <w:rFonts w:ascii="Verdana" w:hAnsi="Verdana"/>
                <w:sz w:val="18"/>
                <w:szCs w:val="18"/>
              </w:rPr>
            </w:r>
            <w:r>
              <w:rPr>
                <w:rFonts w:ascii="Verdana" w:hAnsi="Verdana"/>
                <w:sz w:val="18"/>
                <w:szCs w:val="18"/>
              </w:rPr>
            </w:r>
          </w:p>
        </w:tc>
      </w:tr>
      <w:tr>
        <w:trPr>
          <w:trHeight w:val="39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i/>
                <w:iCs/>
                <w:sz w:val="18"/>
                <w:szCs w:val="18"/>
              </w:rPr>
            </w:pPr>
            <w:r>
              <w:rPr>
                <w:rFonts w:ascii="Verdana" w:hAnsi="Verdana"/>
                <w:i/>
                <w:iCs/>
                <w:sz w:val="18"/>
                <w:szCs w:val="18"/>
              </w:rPr>
              <w:t xml:space="preserve">Potřeba zanalyzovat</w:t>
            </w:r>
            <w:r>
              <w:rPr>
                <w:rFonts w:ascii="Verdana" w:hAnsi="Verdana"/>
                <w:i/>
                <w:iCs/>
                <w:sz w:val="18"/>
                <w:szCs w:val="18"/>
              </w:rPr>
            </w:r>
            <w:r>
              <w:rPr>
                <w:rFonts w:ascii="Verdana" w:hAnsi="Verdana"/>
                <w:i/>
                <w:iCs/>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t xml:space="preserve">PRIORITA III.</w:t>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ascii="Verdana" w:hAnsi="Verdana"/>
                <w:b/>
                <w:sz w:val="18"/>
                <w:szCs w:val="18"/>
              </w:rPr>
              <w:t xml:space="preserve">Operativní skupinová doprava do zaměstnání: nájem elektrických vozidel (minibusů nebo osobních vozidel apod.) pro skupinovou dopravu zaměstnanců do zaměstnání pro firmy</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Nájem elektrických minibusu nebo vozidel kategorie M1, M2 pro zajištění operativní skupinové dopravy pro firmy a podnikatele v odlehlých územích ČR.</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Lidé v odlehlých/venkovských regionech jsou při zajišťování svých </w:t>
            </w:r>
            <w:r>
              <w:rPr>
                <w:rFonts w:ascii="Verdana" w:hAnsi="Verdana"/>
                <w:sz w:val="18"/>
                <w:szCs w:val="18"/>
              </w:rPr>
              <w:t xml:space="preserve">socio</w:t>
            </w:r>
            <w:r>
              <w:rPr>
                <w:rFonts w:ascii="Verdana" w:hAnsi="Verdana"/>
                <w:sz w:val="18"/>
                <w:szCs w:val="18"/>
              </w:rPr>
              <w:t xml:space="preserve">-ekonomických potřeb často odkázání na IAD. Linková doprava v odlehlých regionech není </w:t>
            </w:r>
            <w:r>
              <w:rPr>
                <w:rFonts w:ascii="Verdana" w:hAnsi="Verdana"/>
                <w:sz w:val="18"/>
                <w:szCs w:val="18"/>
              </w:rPr>
              <w:t xml:space="preserve">efektivní: vytíženost spojů je nízká, nedostatečně plánovaná, často s mnoha přestupy, ceny jízdenek kolísají. Provozní náklady dopravců rostou, rovněž tlak na zajištění obslužnosti obcí. Zároveň je cíl dekarbonizovat dopravu a snížit závislost osob na IAD.</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Firmy, které zajišťují zaměstnanost v odlehlejších regionech řeší náklad</w:t>
            </w:r>
            <w:r>
              <w:rPr>
                <w:rFonts w:ascii="Verdana" w:hAnsi="Verdana"/>
                <w:sz w:val="18"/>
                <w:szCs w:val="18"/>
              </w:rPr>
              <w:t xml:space="preserve">ně dopravu a nemají dnes k dispozici zaměstnance, dochází k odlivu do aglomerací. Cílem je umožnit firmám nahradit dopravu starými vyřazenými vozidly nebo vůbec zajistit dopravu zaměstnanců skupinovým způsobem pomocí elektrovozidel a elektrických minibusů.</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t xml:space="preserve">Je možné zajistit komfortnější a dostupnější dopravní servis pro zranitelné uživatele (nízkopříjmové jedince, seniory, postižení do chráněných dílen).</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Zajištění dotace na nájem vozidel pro skupinovou dopravu do zaměstnání.</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b/>
                <w:sz w:val="18"/>
                <w:szCs w:val="18"/>
              </w:rPr>
            </w:pPr>
            <w:r>
              <w:rPr>
                <w:rFonts w:ascii="Verdana" w:hAnsi="Verdana"/>
                <w:b/>
                <w:sz w:val="18"/>
                <w:szCs w:val="18"/>
              </w:rPr>
              <w:t xml:space="preserve">Odhad nákladů: 1-2 mld. Kč </w:t>
            </w:r>
            <w:r>
              <w:rPr>
                <w:rFonts w:ascii="Verdana" w:hAnsi="Verdana"/>
                <w:sz w:val="18"/>
                <w:szCs w:val="18"/>
              </w:rPr>
              <w:t xml:space="preserve">/rok</w:t>
            </w:r>
            <w:r>
              <w:rPr>
                <w:rFonts w:ascii="Verdana" w:hAnsi="Verdana"/>
                <w:b/>
                <w:sz w:val="18"/>
                <w:szCs w:val="18"/>
              </w:rPr>
            </w:r>
            <w:r>
              <w:rPr>
                <w:rFonts w:ascii="Verdana" w:hAnsi="Verdana"/>
                <w:b/>
                <w:sz w:val="18"/>
                <w:szCs w:val="18"/>
              </w:rPr>
            </w:r>
          </w:p>
          <w:p>
            <w:pPr>
              <w:pBdr/>
              <w:spacing/>
              <w:ind/>
              <w:rPr>
                <w:rFonts w:ascii="Verdana" w:hAnsi="Verdana"/>
                <w:sz w:val="18"/>
                <w:szCs w:val="18"/>
              </w:rPr>
            </w:pPr>
            <w:r>
              <w:rPr>
                <w:rFonts w:ascii="Verdana" w:hAnsi="Verdana"/>
                <w:sz w:val="18"/>
                <w:szCs w:val="18"/>
              </w:rPr>
              <w:t xml:space="preserve">(2 mil. Kč/vozidlo, 5-10 ks vozidel pro ORP dle vymezení; analýza regionů s omezenou obslužností VHD by měla vymezit a determinovat územní způsobilost investice, nyní předpoklad 100 ORP) + 3 tis. elektrovozidel M1. / rok</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b/>
                <w:sz w:val="18"/>
                <w:szCs w:val="18"/>
              </w:rPr>
              <w:t xml:space="preserve">Typ nákladu:</w:t>
            </w:r>
            <w:r>
              <w:rPr>
                <w:rFonts w:ascii="Verdana" w:hAnsi="Verdana"/>
                <w:sz w:val="18"/>
                <w:szCs w:val="18"/>
              </w:rPr>
              <w:t xml:space="preserve"> provozní příspěvek na dopravu</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Vazba na identifikátor: 1, 2, 4, 9, </w:t>
            </w:r>
            <w:r>
              <w:rPr>
                <w:rFonts w:ascii="Verdana" w:hAnsi="Verdana"/>
                <w:sz w:val="18"/>
                <w:szCs w:val="18"/>
              </w:rPr>
              <w:t xml:space="preserve">11, 12, 13, 15</w:t>
            </w:r>
            <w:r>
              <w:rPr>
                <w:rFonts w:ascii="Verdana" w:hAnsi="Verdana"/>
                <w:sz w:val="18"/>
                <w:szCs w:val="18"/>
              </w:rPr>
            </w:r>
            <w:r>
              <w:rPr>
                <w:rFonts w:ascii="Verdana" w:hAnsi="Verdana"/>
                <w:sz w:val="18"/>
                <w:szCs w:val="18"/>
              </w:rPr>
            </w:r>
          </w:p>
          <w:p>
            <w:pPr>
              <w:pBdr/>
              <w:spacing/>
              <w:ind/>
              <w:rPr>
                <w:rFonts w:ascii="Verdana" w:hAnsi="Verdana"/>
                <w:color w:val="ff0000"/>
                <w:sz w:val="18"/>
                <w:szCs w:val="18"/>
              </w:rPr>
            </w:pPr>
            <w:r>
              <w:rPr>
                <w:rFonts w:ascii="Verdana" w:hAnsi="Verdana"/>
                <w:sz w:val="18"/>
                <w:szCs w:val="18"/>
              </w:rPr>
              <w:t xml:space="preserve">Ú</w:t>
            </w:r>
            <w:r>
              <w:rPr>
                <w:rFonts w:ascii="Verdana" w:hAnsi="Verdana"/>
                <w:sz w:val="18"/>
                <w:szCs w:val="18"/>
              </w:rPr>
              <w:t xml:space="preserve">zemní dimenze: odlehlé regiony, vnitřní/vnější periferie = oblasti s nízkou obslužností VHD (1), kde hrozí dopravní chudoba</w:t>
            </w:r>
            <w:r>
              <w:rPr>
                <w:rFonts w:ascii="Verdana" w:hAnsi="Verdana"/>
                <w:color w:val="ff0000"/>
                <w:sz w:val="18"/>
                <w:szCs w:val="18"/>
              </w:rPr>
            </w:r>
            <w:r>
              <w:rPr>
                <w:rFonts w:ascii="Verdana" w:hAnsi="Verdana"/>
                <w:color w:val="ff0000"/>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Při předpokladu leasingu 3 100 bezemisních vozidel za rok, průměrných emisích spalovacího</w:t>
            </w:r>
            <w:r>
              <w:rPr>
                <w:rFonts w:ascii="Verdana" w:hAnsi="Verdana"/>
                <w:sz w:val="18"/>
                <w:szCs w:val="18"/>
              </w:rPr>
              <w:t xml:space="preserve"> vozu využívaného uvažovanou kategorií uživatelů 140 g CO2 na km a odhadovaném ročním nájezdu 10 000 km činí úspora emisí CO2 4 300 t za rok. V dalších letech podpory bude úspora emisí CO2 kumulativně růst, jak budou přibývat další nová bezemisní vozidla. </w:t>
            </w:r>
            <w:r>
              <w:rPr>
                <w:rFonts w:ascii="Verdana" w:hAnsi="Verdana"/>
                <w:sz w:val="18"/>
                <w:szCs w:val="18"/>
              </w:rPr>
            </w:r>
            <w:r>
              <w:rPr>
                <w:rFonts w:ascii="Verdana" w:hAnsi="Verdana"/>
                <w:sz w:val="18"/>
                <w:szCs w:val="18"/>
              </w:rPr>
            </w:r>
          </w:p>
        </w:tc>
      </w:tr>
    </w:tbl>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firstLine="708" w:left="3540"/>
        <w:rPr>
          <w:rFonts w:ascii="Verdana" w:hAnsi="Verdana"/>
          <w:b/>
        </w:rPr>
      </w:pPr>
      <w:r>
        <w:rPr>
          <w:rFonts w:ascii="Verdana" w:hAnsi="Verdana"/>
          <w:b/>
        </w:rPr>
        <w:t xml:space="preserve">PRIORITA IV. </w:t>
      </w:r>
      <w:r>
        <w:rPr>
          <w:rFonts w:ascii="Verdana" w:hAnsi="Verdana"/>
          <w:b/>
        </w:rPr>
      </w:r>
      <w:r>
        <w:rPr>
          <w:rFonts w:ascii="Verdana" w:hAnsi="Verdana"/>
          <w:b/>
        </w:rPr>
      </w:r>
    </w:p>
    <w:p>
      <w:pPr>
        <w:pBdr/>
        <w:spacing/>
        <w:ind/>
        <w:rPr>
          <w:rFonts w:ascii="Verdana" w:hAnsi="Verdana"/>
          <w:b/>
        </w:rPr>
      </w:pPr>
      <w:r>
        <w:rPr>
          <w:rFonts w:ascii="Verdana" w:hAnsi="Verdana"/>
          <w:bCs/>
        </w:rPr>
        <w:t xml:space="preserve">(O</w:t>
      </w:r>
      <w:r>
        <w:rPr>
          <w:rFonts w:ascii="Verdana" w:hAnsi="Verdana"/>
          <w:bCs/>
        </w:rPr>
        <w:t xml:space="preserve">dpovídá </w:t>
      </w:r>
      <w:r>
        <w:rPr>
          <w:rFonts w:ascii="Verdana" w:hAnsi="Verdana"/>
          <w:bCs/>
        </w:rPr>
        <w:t xml:space="preserve">návrhu </w:t>
      </w:r>
      <w:r>
        <w:rPr>
          <w:rFonts w:ascii="Verdana" w:hAnsi="Verdana"/>
          <w:bCs/>
        </w:rPr>
        <w:t xml:space="preserve">opatření NAP ČM – 18, 8 mld. kapitola „Kompenzace“)</w:t>
      </w:r>
      <w:r>
        <w:rPr>
          <w:rFonts w:ascii="Verdana" w:hAnsi="Verdana"/>
          <w:b/>
        </w:rPr>
      </w:r>
      <w:r>
        <w:rPr>
          <w:rFonts w:ascii="Verdana" w:hAnsi="Verdana"/>
          <w:b/>
        </w:rPr>
      </w:r>
    </w:p>
    <w:tbl>
      <w:tblPr>
        <w:tblStyle w:val="884"/>
        <w:tblW w:w="9630" w:type="dxa"/>
        <w:tblBorders/>
        <w:tblLook w:val="04A0" w:firstRow="1" w:lastRow="0" w:firstColumn="1" w:lastColumn="0" w:noHBand="0" w:noVBand="1"/>
      </w:tblPr>
      <w:tblGrid>
        <w:gridCol w:w="2122"/>
        <w:gridCol w:w="7508"/>
      </w:tblGrid>
      <w:tr>
        <w:trPr>
          <w:trHeight w:val="260"/>
        </w:trPr>
        <w:tc>
          <w:tcPr>
            <w:gridSpan w:val="2"/>
            <w:shd w:val="clear" w:color="auto" w:fill="d5dce4" w:themeFill="text2" w:themeFillTint="33"/>
            <w:tcBorders/>
            <w:tcW w:w="9630" w:type="dxa"/>
            <w:textDirection w:val="lrTb"/>
            <w:noWrap w:val="false"/>
          </w:tcPr>
          <w:p>
            <w:pPr>
              <w:pBdr/>
              <w:spacing/>
              <w:ind/>
              <w:rPr>
                <w:rFonts w:ascii="Verdana" w:hAnsi="Verdana"/>
                <w:b/>
                <w:sz w:val="18"/>
                <w:szCs w:val="18"/>
              </w:rPr>
            </w:pPr>
            <w:r>
              <w:rPr>
                <w:rFonts w:cs="Arial"/>
                <w:b/>
                <w:bCs/>
              </w:rPr>
              <w:t xml:space="preserve">Podpora pro zranitelné domácnosti a zranitelné uživatele dopravy</w:t>
            </w:r>
            <w:r>
              <w:rPr>
                <w:rFonts w:ascii="Verdana" w:hAnsi="Verdana"/>
                <w:b/>
                <w:sz w:val="18"/>
                <w:szCs w:val="18"/>
              </w:rPr>
            </w:r>
            <w:r>
              <w:rPr>
                <w:rFonts w:ascii="Verdana" w:hAnsi="Verdana"/>
                <w:b/>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Popis opatření </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before="60"/>
              <w:ind/>
              <w:jc w:val="both"/>
              <w:rPr/>
            </w:pPr>
            <w:r>
              <w:t xml:space="preserve">Podpora musí být zaměřená na </w:t>
            </w:r>
            <w:r>
              <w:rPr>
                <w:b/>
                <w:bCs/>
              </w:rPr>
              <w:t xml:space="preserve">kompenzaci zvýšených nákladů</w:t>
            </w:r>
            <w:r>
              <w:t xml:space="preserve"> přepravného spojených se zaváděním nízko a bezemisní </w:t>
            </w:r>
            <w:r>
              <w:rPr>
                <w:b/>
                <w:bCs/>
              </w:rPr>
              <w:t xml:space="preserve">veřejné dopravy</w:t>
            </w:r>
            <w:r>
              <w:t xml:space="preserve">.</w:t>
            </w:r>
            <w:r>
              <w:t xml:space="preserve"> </w:t>
            </w:r>
            <w:r>
              <w:t xml:space="preserve">Díky cenově dostupnější veřejné dopravě budou mít ohrožené skupiny obyvatel přístup k čistým možnostem mobility, aniž by museli čelit zvýšené finanční zátěži. </w:t>
            </w: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1552"/>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Řešený problém</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before="60"/>
              <w:ind/>
              <w:jc w:val="both"/>
              <w:rPr/>
            </w:pPr>
            <w:r>
              <w:t xml:space="preserve">Dopravní chudoba</w:t>
            </w:r>
            <w:r>
              <w:t xml:space="preserve"> může být způsobena několika faktory, které brání</w:t>
            </w:r>
            <w:r>
              <w:t xml:space="preserve"> jednotlivcům příp. domácnostem a komunitám v tom, aby se bez omezení dostali na místo potřeby a měli přístup k nezbytným dopravním službám. To může způsobit, že jsou omezeni ve své schopnosti dostat se do práce, školy, lékařských zařízení a dalších míst. </w:t>
            </w:r>
            <w:r/>
          </w:p>
          <w:p>
            <w:pPr>
              <w:pBdr/>
              <w:spacing w:before="60"/>
              <w:ind/>
              <w:jc w:val="both"/>
              <w:rPr/>
            </w:pPr>
            <w:r>
              <w:t xml:space="preserve">Momentálně neexistuje žádná analýza či studie, která by řekla kolik zranitelných osob v</w:t>
            </w:r>
            <w:r>
              <w:t xml:space="preserve"> </w:t>
            </w:r>
            <w:r>
              <w:t xml:space="preserve">ČR</w:t>
            </w:r>
            <w:r>
              <w:t xml:space="preserve">,</w:t>
            </w:r>
            <w:r>
              <w:t xml:space="preserve"> může být touto formou deprivace dotčeno. Chudoba v oblasti dopravy, může postihnout velkou část obyvatel, a to v důsledku klimatické transformace, a to zejm. z důvodu zavedení EU ETS2 na sektor silniční dopravy, </w:t>
            </w:r>
            <w:r/>
          </w:p>
          <w:p>
            <w:pPr>
              <w:pBdr/>
              <w:spacing/>
              <w:ind/>
              <w:rPr>
                <w:rFonts w:ascii="Verdana" w:hAnsi="Verdana"/>
                <w:sz w:val="18"/>
                <w:szCs w:val="18"/>
              </w:rPr>
            </w:pPr>
            <w:r>
              <w:t xml:space="preserve">Na hromadné dopravě bude do značné míry závislá velká část obyvatel ČR, zejm. ve venkovských a periferních regionech. Od r. 2027</w:t>
            </w:r>
            <w:r>
              <w:t xml:space="preserve"> hrozí výrazné zhoršení dostupnosti z důvodu zvýšení celkových nákladů přepravy osob</w:t>
            </w:r>
            <w:r>
              <w:t xml:space="preserve"> a bude potřeba zajistit adekvátní formy přímé podpory (sleva na jízdném), abychom předešli negativním důsledkům, které zvýšené ceny za dopravu mohou na zranitelné skupiny obyvatel mít.</w:t>
            </w:r>
            <w:r>
              <w:rPr>
                <w:rFonts w:ascii="Verdana" w:hAnsi="Verdana"/>
                <w:sz w:val="18"/>
                <w:szCs w:val="18"/>
              </w:rPr>
            </w:r>
            <w:r>
              <w:rPr>
                <w:rFonts w:ascii="Verdana" w:hAnsi="Verdana"/>
                <w:sz w:val="18"/>
                <w:szCs w:val="18"/>
              </w:rPr>
            </w:r>
          </w:p>
          <w:p>
            <w:pPr>
              <w:pBdr/>
              <w:spacing w:before="60"/>
              <w:ind/>
              <w:jc w:val="both"/>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6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Intervenční logika</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Kompenzace zvýšených cen jízdného z důsledku zdražení celkových nákladů pro operátory veřejné dopravy. </w:t>
            </w:r>
            <w:r>
              <w:rPr>
                <w:rFonts w:ascii="Verdana" w:hAnsi="Verdana"/>
                <w:sz w:val="18"/>
                <w:szCs w:val="18"/>
              </w:rPr>
            </w:r>
            <w:r>
              <w:rPr>
                <w:rFonts w:ascii="Verdana" w:hAnsi="Verdana"/>
                <w:sz w:val="18"/>
                <w:szCs w:val="18"/>
              </w:rPr>
            </w:r>
          </w:p>
          <w:p>
            <w:pPr>
              <w:pBdr/>
              <w:spacing/>
              <w:ind/>
              <w:rPr>
                <w:rFonts w:ascii="Verdana" w:hAnsi="Verdana"/>
                <w:sz w:val="18"/>
                <w:szCs w:val="18"/>
              </w:rPr>
            </w:pPr>
            <w:r>
              <w:rPr>
                <w:rFonts w:ascii="Verdana" w:hAnsi="Verdana"/>
                <w:sz w:val="18"/>
                <w:szCs w:val="18"/>
              </w:rPr>
            </w:r>
            <w:r>
              <w:rPr>
                <w:rFonts w:ascii="Verdana" w:hAnsi="Verdana"/>
                <w:sz w:val="18"/>
                <w:szCs w:val="18"/>
              </w:rPr>
            </w:r>
            <w:r>
              <w:rPr>
                <w:rFonts w:ascii="Verdana" w:hAnsi="Verdana"/>
                <w:sz w:val="18"/>
                <w:szCs w:val="18"/>
              </w:rPr>
            </w:r>
          </w:p>
        </w:tc>
      </w:tr>
      <w:tr>
        <w:trPr>
          <w:trHeight w:val="250"/>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Finanční náklad</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i/>
                <w:iCs/>
                <w:sz w:val="18"/>
                <w:szCs w:val="18"/>
              </w:rPr>
            </w:pPr>
            <w:r>
              <w:rPr>
                <w:rFonts w:ascii="Verdana" w:hAnsi="Verdana"/>
                <w:i/>
                <w:iCs/>
                <w:sz w:val="18"/>
                <w:szCs w:val="18"/>
              </w:rPr>
              <w:t xml:space="preserve">Potřeba zanalyzovat</w:t>
            </w:r>
            <w:r>
              <w:rPr>
                <w:rFonts w:ascii="Verdana" w:hAnsi="Verdana"/>
                <w:i/>
                <w:iCs/>
                <w:sz w:val="18"/>
                <w:szCs w:val="18"/>
              </w:rPr>
            </w:r>
            <w:r>
              <w:rPr>
                <w:rFonts w:ascii="Verdana" w:hAnsi="Verdana"/>
                <w:i/>
                <w:iCs/>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Vazba na indikátor/územní dimenze</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sz w:val="18"/>
                <w:szCs w:val="18"/>
              </w:rPr>
            </w:pPr>
            <w:r>
              <w:rPr>
                <w:rFonts w:ascii="Verdana" w:hAnsi="Verdana"/>
                <w:sz w:val="18"/>
                <w:szCs w:val="18"/>
              </w:rPr>
              <w:t xml:space="preserve">1., 2., 8., 11., 12., </w:t>
            </w:r>
            <w:r>
              <w:rPr>
                <w:rFonts w:ascii="Verdana" w:hAnsi="Verdana"/>
                <w:sz w:val="18"/>
                <w:szCs w:val="18"/>
              </w:rPr>
            </w:r>
            <w:r>
              <w:rPr>
                <w:rFonts w:ascii="Verdana" w:hAnsi="Verdana"/>
                <w:sz w:val="18"/>
                <w:szCs w:val="18"/>
              </w:rPr>
            </w:r>
          </w:p>
        </w:tc>
      </w:tr>
      <w:tr>
        <w:trPr>
          <w:trHeight w:val="781"/>
        </w:trPr>
        <w:tc>
          <w:tcPr>
            <w:tcBorders/>
            <w:tcW w:w="2122" w:type="dxa"/>
            <w:textDirection w:val="lrTb"/>
            <w:noWrap w:val="false"/>
          </w:tcPr>
          <w:p>
            <w:pPr>
              <w:pBdr/>
              <w:spacing/>
              <w:ind/>
              <w:rPr>
                <w:rFonts w:ascii="Verdana" w:hAnsi="Verdana"/>
                <w:b/>
                <w:sz w:val="18"/>
                <w:szCs w:val="18"/>
              </w:rPr>
            </w:pPr>
            <w:r>
              <w:rPr>
                <w:rFonts w:ascii="Verdana" w:hAnsi="Verdana"/>
                <w:b/>
                <w:sz w:val="18"/>
                <w:szCs w:val="18"/>
              </w:rPr>
              <w:t xml:space="preserve">Úspory emisí CO</w:t>
            </w:r>
            <w:r>
              <w:rPr>
                <w:rFonts w:ascii="Verdana" w:hAnsi="Verdana"/>
                <w:b/>
                <w:sz w:val="18"/>
                <w:szCs w:val="18"/>
                <w:vertAlign w:val="subscript"/>
              </w:rPr>
              <w:t xml:space="preserve">2</w:t>
            </w:r>
            <w:r>
              <w:rPr>
                <w:rFonts w:ascii="Verdana" w:hAnsi="Verdana"/>
                <w:b/>
                <w:sz w:val="18"/>
                <w:szCs w:val="18"/>
              </w:rPr>
            </w:r>
            <w:r>
              <w:rPr>
                <w:rFonts w:ascii="Verdana" w:hAnsi="Verdana"/>
                <w:b/>
                <w:sz w:val="18"/>
                <w:szCs w:val="18"/>
              </w:rPr>
            </w:r>
          </w:p>
        </w:tc>
        <w:tc>
          <w:tcPr>
            <w:tcBorders/>
            <w:tcW w:w="7508" w:type="dxa"/>
            <w:textDirection w:val="lrTb"/>
            <w:noWrap w:val="false"/>
          </w:tcPr>
          <w:p>
            <w:pPr>
              <w:pBdr/>
              <w:spacing/>
              <w:ind/>
              <w:rPr>
                <w:rFonts w:ascii="Verdana" w:hAnsi="Verdana"/>
                <w:i/>
                <w:iCs/>
                <w:sz w:val="18"/>
                <w:szCs w:val="18"/>
              </w:rPr>
            </w:pPr>
            <w:r>
              <w:rPr>
                <w:rFonts w:ascii="Verdana" w:hAnsi="Verdana"/>
                <w:i/>
                <w:iCs/>
                <w:sz w:val="18"/>
                <w:szCs w:val="18"/>
              </w:rPr>
              <w:t xml:space="preserve">Potřeba zanalyzovat</w:t>
            </w:r>
            <w:r>
              <w:rPr>
                <w:rFonts w:ascii="Verdana" w:hAnsi="Verdana"/>
                <w:i/>
                <w:iCs/>
                <w:sz w:val="18"/>
                <w:szCs w:val="18"/>
              </w:rPr>
            </w:r>
            <w:r>
              <w:rPr>
                <w:rFonts w:ascii="Verdana" w:hAnsi="Verdana"/>
                <w:i/>
                <w:iCs/>
                <w:sz w:val="18"/>
                <w:szCs w:val="18"/>
              </w:rPr>
            </w:r>
          </w:p>
        </w:tc>
      </w:tr>
    </w:tbl>
    <w:p>
      <w:pPr>
        <w:pBdr/>
        <w:spacing/>
        <w:ind/>
        <w:rPr>
          <w:rFonts w:ascii="Verdana" w:hAnsi="Verdana"/>
          <w:b/>
        </w:rPr>
      </w:pPr>
      <w:r/>
      <w:bookmarkStart w:id="0" w:name="_GoBack"/>
      <w:r/>
      <w:bookmarkEnd w:id="0"/>
      <w:r>
        <w:rPr>
          <w:rFonts w:ascii="Verdana" w:hAnsi="Verdana"/>
          <w:b/>
        </w:rPr>
      </w:r>
      <w:r>
        <w:rPr>
          <w:rFonts w:ascii="Verdana" w:hAnsi="Verdana"/>
          <w:b/>
        </w:rPr>
      </w:r>
    </w:p>
    <w:p>
      <w:pPr>
        <w:pBdr/>
        <w:spacing/>
        <w:ind/>
        <w:rPr>
          <w:rFonts w:ascii="Verdana" w:hAnsi="Verdana"/>
          <w:b/>
        </w:rPr>
      </w:pPr>
      <w:r>
        <w:rPr>
          <w:rFonts w:ascii="Verdana" w:hAnsi="Verdana"/>
          <w:b/>
        </w:rPr>
        <w:t xml:space="preserve">Příloha č. 1: Tabulka indikátorů (příloha č. IV nařízení o SKF)</w:t>
      </w:r>
      <w:r>
        <w:rPr>
          <w:rFonts w:ascii="Verdana" w:hAnsi="Verdana"/>
          <w:b/>
        </w:rPr>
      </w:r>
      <w:r>
        <w:rPr>
          <w:rFonts w:ascii="Verdana" w:hAnsi="Verdana"/>
          <w:b/>
        </w:rPr>
      </w:r>
    </w:p>
    <w:tbl>
      <w:tblPr>
        <w:tblStyle w:val="884"/>
        <w:tblW w:w="10349" w:type="dxa"/>
        <w:tblInd w:w="-431" w:type="dxa"/>
        <w:tblBorders/>
        <w:tblLook w:val="04A0" w:firstRow="1" w:lastRow="0" w:firstColumn="1" w:lastColumn="0" w:noHBand="0" w:noVBand="1"/>
      </w:tblPr>
      <w:tblGrid>
        <w:gridCol w:w="370"/>
        <w:gridCol w:w="2608"/>
        <w:gridCol w:w="5528"/>
        <w:gridCol w:w="1843"/>
      </w:tblGrid>
      <w:tr>
        <w:trPr/>
        <w:tc>
          <w:tcPr>
            <w:gridSpan w:val="4"/>
            <w:shd w:val="clear" w:color="auto" w:fill="d5dce4" w:themeFill="text2" w:themeFillTint="33"/>
            <w:tcBorders/>
            <w:tcW w:w="10349" w:type="dxa"/>
            <w:textDirection w:val="lrTb"/>
            <w:noWrap w:val="false"/>
          </w:tcPr>
          <w:p>
            <w:pPr>
              <w:pBdr/>
              <w:spacing/>
              <w:ind/>
              <w:rPr>
                <w:rFonts w:ascii="Verdana" w:hAnsi="Verdana"/>
                <w:sz w:val="16"/>
                <w:szCs w:val="16"/>
              </w:rPr>
            </w:pPr>
            <w:r>
              <w:rPr>
                <w:rFonts w:ascii="Verdana" w:hAnsi="Verdana"/>
                <w:sz w:val="12"/>
                <w:szCs w:val="16"/>
              </w:rPr>
              <w:t xml:space="preserve">Kontextové ukazatele</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1</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Počet zranitelných uživatelů dopravy</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V souladu s definicí v čl. 2 bodě 12.</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domácností</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2</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Počet domácností trpících dopravní chudobou</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V souladu s definicí v čl. 2 bodě 2.</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domácností</w:t>
            </w:r>
            <w:r>
              <w:rPr>
                <w:rFonts w:ascii="Verdana" w:hAnsi="Verdana"/>
                <w:sz w:val="16"/>
                <w:szCs w:val="16"/>
              </w:rPr>
            </w:r>
            <w:r>
              <w:rPr>
                <w:rFonts w:ascii="Verdana" w:hAnsi="Verdana"/>
                <w:sz w:val="16"/>
                <w:szCs w:val="16"/>
              </w:rPr>
            </w:r>
          </w:p>
        </w:tc>
      </w:tr>
      <w:tr>
        <w:trPr/>
        <w:tc>
          <w:tcPr>
            <w:gridSpan w:val="4"/>
            <w:shd w:val="clear" w:color="auto" w:fill="d5dce4" w:themeFill="text2" w:themeFillTint="33"/>
            <w:tcBorders/>
            <w:tcW w:w="10349" w:type="dxa"/>
            <w:textDirection w:val="lrTb"/>
            <w:noWrap w:val="false"/>
          </w:tcPr>
          <w:p>
            <w:pPr>
              <w:pBdr/>
              <w:spacing/>
              <w:ind/>
              <w:rPr>
                <w:rFonts w:ascii="Verdana" w:hAnsi="Verdana"/>
                <w:sz w:val="12"/>
                <w:szCs w:val="16"/>
              </w:rPr>
            </w:pPr>
            <w:r>
              <w:rPr>
                <w:rFonts w:ascii="Verdana" w:hAnsi="Verdana"/>
                <w:sz w:val="12"/>
                <w:szCs w:val="16"/>
              </w:rPr>
              <w:t xml:space="preserve">Ukazatele výstupů</w:t>
            </w:r>
            <w:r>
              <w:rPr>
                <w:rFonts w:ascii="Verdana" w:hAnsi="Verdana"/>
                <w:sz w:val="12"/>
                <w:szCs w:val="16"/>
              </w:rPr>
            </w:r>
            <w:r>
              <w:rPr>
                <w:rFonts w:ascii="Verdana" w:hAnsi="Verdana"/>
                <w:sz w:val="12"/>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3</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Počet zranitelných uživatelů dopravy, kteří využili alespoň jedno strukturální opatření ke snížení svých emisí v odvětví silniční dopravy</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V souladu s čl. 2 bodem 12 a čl. 8 odst. 1. Pouze opatření vyplývající z podpory z fondu.</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domácností </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4</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Nákup vozidel s nulovými emisemi</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Počet vozidel s nulovými emisemi podpořených opatřeními a investicemi financovanými z fondu.</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vozidel s nulovými emisemi</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5</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Nákup vozidel s nízkými emisemi</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Počet vozidel s nízkými emisemi podpořených opatřeními a investicemi financovanými z fondu.</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vozidel </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6</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Nákup jízdních kol a prostředků tzv. </w:t>
            </w:r>
            <w:r>
              <w:rPr>
                <w:rFonts w:ascii="Verdana" w:hAnsi="Verdana"/>
                <w:sz w:val="16"/>
                <w:szCs w:val="16"/>
              </w:rPr>
              <w:t xml:space="preserve">mikromobility</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Počet jízdních kol a prostředků tzv. </w:t>
            </w:r>
            <w:r>
              <w:rPr>
                <w:rFonts w:ascii="Verdana" w:hAnsi="Verdana"/>
                <w:sz w:val="14"/>
                <w:szCs w:val="16"/>
              </w:rPr>
              <w:t xml:space="preserve">mikromobility</w:t>
            </w:r>
            <w:r>
              <w:rPr>
                <w:rFonts w:ascii="Verdana" w:hAnsi="Verdana"/>
                <w:sz w:val="14"/>
                <w:szCs w:val="16"/>
              </w:rPr>
              <w:t xml:space="preserve"> podpořených opatřeními a investicemi financovanými z fondu.</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jízdních kol a prostředků tzv. </w:t>
            </w:r>
            <w:r>
              <w:rPr>
                <w:rFonts w:ascii="Verdana" w:hAnsi="Verdana"/>
                <w:sz w:val="16"/>
                <w:szCs w:val="16"/>
              </w:rPr>
              <w:t xml:space="preserve">mikromobility</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7</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Další infrastruktura pro alternativní paliva (výdejní stojany/dobíjecí body)</w:t>
            </w:r>
            <w:r>
              <w:rPr>
                <w:rFonts w:ascii="Verdana" w:hAnsi="Verdana"/>
                <w:sz w:val="16"/>
                <w:szCs w:val="16"/>
              </w:rPr>
            </w:r>
            <w:r>
              <w:rPr>
                <w:rFonts w:ascii="Verdana" w:hAnsi="Verdana"/>
                <w:sz w:val="16"/>
                <w:szCs w:val="16"/>
              </w:rPr>
            </w:r>
          </w:p>
        </w:tc>
        <w:tc>
          <w:tcPr>
            <w:tcBorders/>
            <w:tcW w:w="5528" w:type="dxa"/>
            <w:textDirection w:val="lrTb"/>
            <w:noWrap w:val="false"/>
          </w:tcPr>
          <w:p>
            <w:pPr>
              <w:pStyle w:val="885"/>
              <w:pBdr/>
              <w:spacing/>
              <w:ind/>
              <w:rPr>
                <w:rFonts w:ascii="Verdana" w:hAnsi="Verdana"/>
                <w:sz w:val="14"/>
                <w:szCs w:val="16"/>
              </w:rPr>
            </w:pPr>
            <w:r>
              <w:rPr>
                <w:rFonts w:ascii="Verdana" w:hAnsi="Verdana"/>
                <w:sz w:val="14"/>
                <w:szCs w:val="16"/>
              </w:rPr>
              <w:t xml:space="preserve">Počet výdejních stojanů a dobíjecích bodů (nových nebo modernizovaných) pro vozidla s nulovými a nízkými emisemi podpořených opatřeními a investicemi financovanými z fondu, s dodatečným zaměřením na vzdálené regiony.</w:t>
            </w:r>
            <w:r>
              <w:rPr>
                <w:rFonts w:ascii="Verdana" w:hAnsi="Verdana"/>
                <w:sz w:val="14"/>
                <w:szCs w:val="16"/>
              </w:rPr>
            </w:r>
            <w:r>
              <w:rPr>
                <w:rFonts w:ascii="Verdana" w:hAnsi="Verdana"/>
                <w:sz w:val="14"/>
                <w:szCs w:val="16"/>
              </w:rPr>
            </w:r>
          </w:p>
          <w:p>
            <w:pPr>
              <w:pStyle w:val="885"/>
              <w:pBdr/>
              <w:spacing/>
              <w:ind/>
              <w:rPr>
                <w:rFonts w:ascii="Verdana" w:hAnsi="Verdana"/>
                <w:sz w:val="14"/>
                <w:szCs w:val="16"/>
              </w:rPr>
            </w:pPr>
            <w:r>
              <w:rPr>
                <w:rFonts w:ascii="Verdana" w:hAnsi="Verdana"/>
                <w:sz w:val="14"/>
                <w:szCs w:val="16"/>
              </w:rPr>
              <w:t xml:space="preserve">Pojmy „a</w:t>
            </w:r>
            <w:r>
              <w:rPr>
                <w:rFonts w:ascii="Verdana" w:hAnsi="Verdana"/>
                <w:sz w:val="14"/>
                <w:szCs w:val="16"/>
              </w:rPr>
              <w:t xml:space="preserve">lternativní palivo“, „dobíjecí body“ a „výdejní stojany“ mají stejný význam jako stejné pojmy definované v nařízení Evropského parlamentu a Rady o zavádění infrastruktury pro alternativní paliva a o zrušení směrnice Evropského parlamentu a Rady 2014/94/EU.</w:t>
            </w:r>
            <w:r>
              <w:rPr>
                <w:rFonts w:ascii="Verdana" w:hAnsi="Verdana"/>
                <w:sz w:val="14"/>
                <w:szCs w:val="16"/>
              </w:rPr>
            </w:r>
            <w:r>
              <w:rPr>
                <w:rFonts w:ascii="Verdana" w:hAnsi="Verdana"/>
                <w:sz w:val="14"/>
                <w:szCs w:val="16"/>
              </w:rPr>
            </w:r>
          </w:p>
          <w:p>
            <w:pPr>
              <w:pStyle w:val="885"/>
              <w:pBdr/>
              <w:spacing/>
              <w:ind/>
              <w:rPr>
                <w:rFonts w:ascii="Verdana" w:hAnsi="Verdana"/>
                <w:sz w:val="14"/>
                <w:szCs w:val="16"/>
              </w:rPr>
            </w:pPr>
            <w:r>
              <w:rPr>
                <w:rFonts w:ascii="Verdana" w:hAnsi="Verdana"/>
                <w:sz w:val="14"/>
                <w:szCs w:val="16"/>
              </w:rPr>
              <w:t xml:space="preserve">Tento ukazatel se shromažďuje a vykazuje samostatně pro i) dobíjecí body a </w:t>
            </w:r>
            <w:r>
              <w:rPr>
                <w:rFonts w:ascii="Verdana" w:hAnsi="Verdana"/>
                <w:sz w:val="14"/>
                <w:szCs w:val="16"/>
              </w:rPr>
              <w:t xml:space="preserve">ii</w:t>
            </w:r>
            <w:r>
              <w:rPr>
                <w:rFonts w:ascii="Verdana" w:hAnsi="Verdana"/>
                <w:sz w:val="14"/>
                <w:szCs w:val="16"/>
              </w:rPr>
              <w:t xml:space="preserve">) výdejní stojany. V rámci tohoto systému se </w:t>
            </w:r>
            <w:r>
              <w:rPr>
                <w:rFonts w:ascii="Verdana" w:hAnsi="Verdana"/>
                <w:sz w:val="14"/>
                <w:szCs w:val="16"/>
              </w:rPr>
              <w:t xml:space="preserve">iii</w:t>
            </w:r>
            <w:r>
              <w:rPr>
                <w:rFonts w:ascii="Verdana" w:hAnsi="Verdana"/>
                <w:sz w:val="14"/>
                <w:szCs w:val="16"/>
              </w:rPr>
              <w:t xml:space="preserve">) stojany pro doplňování vodíku vykazují samostatně.</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výdejních stojanů a dobíjecích bodů</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8</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Jízdenky na veřejnou dopravu za sníženou cenu nebo bezplatné jízdenky</w:t>
            </w:r>
            <w:r>
              <w:rPr>
                <w:rFonts w:ascii="Verdana" w:hAnsi="Verdana"/>
                <w:sz w:val="16"/>
                <w:szCs w:val="16"/>
              </w:rPr>
            </w:r>
            <w:r>
              <w:rPr>
                <w:rFonts w:ascii="Verdana" w:hAnsi="Verdana"/>
                <w:sz w:val="16"/>
                <w:szCs w:val="16"/>
              </w:rPr>
            </w:r>
          </w:p>
        </w:tc>
        <w:tc>
          <w:tcPr>
            <w:tcBorders/>
            <w:tcW w:w="5528" w:type="dxa"/>
            <w:textDirection w:val="lrTb"/>
            <w:noWrap w:val="false"/>
          </w:tcPr>
          <w:p>
            <w:pPr>
              <w:pStyle w:val="885"/>
              <w:pBdr/>
              <w:spacing/>
              <w:ind/>
              <w:rPr>
                <w:rFonts w:ascii="Verdana" w:hAnsi="Verdana"/>
                <w:sz w:val="14"/>
                <w:szCs w:val="16"/>
              </w:rPr>
            </w:pPr>
            <w:r>
              <w:rPr>
                <w:rFonts w:ascii="Verdana" w:hAnsi="Verdana"/>
                <w:sz w:val="14"/>
                <w:szCs w:val="16"/>
              </w:rPr>
              <w:t xml:space="preserve">Počet uživatelů veřejné dopravy podpořených opatřeními a investicemi financovanými z fondu.</w:t>
            </w:r>
            <w:r>
              <w:rPr>
                <w:rFonts w:ascii="Verdana" w:hAnsi="Verdana"/>
                <w:sz w:val="14"/>
                <w:szCs w:val="16"/>
              </w:rPr>
            </w:r>
            <w:r>
              <w:rPr>
                <w:rFonts w:ascii="Verdana" w:hAnsi="Verdana"/>
                <w:sz w:val="14"/>
                <w:szCs w:val="16"/>
              </w:rPr>
            </w:r>
          </w:p>
          <w:p>
            <w:pPr>
              <w:pBdr/>
              <w:spacing/>
              <w:ind/>
              <w:rPr>
                <w:rFonts w:ascii="Verdana" w:hAnsi="Verdana"/>
                <w:sz w:val="14"/>
                <w:szCs w:val="16"/>
              </w:rPr>
            </w:pPr>
            <w:r>
              <w:rPr>
                <w:rFonts w:ascii="Verdana" w:hAnsi="Verdana"/>
                <w:sz w:val="14"/>
                <w:szCs w:val="16"/>
              </w:rPr>
              <w:t xml:space="preserve">Ukazatel se shromažďuje a vykazuje samostatně pro i) jízdenky za sníženou cenu a </w:t>
            </w:r>
            <w:r>
              <w:rPr>
                <w:rFonts w:ascii="Verdana" w:hAnsi="Verdana"/>
                <w:sz w:val="14"/>
                <w:szCs w:val="16"/>
              </w:rPr>
              <w:t xml:space="preserve">ii</w:t>
            </w:r>
            <w:r>
              <w:rPr>
                <w:rFonts w:ascii="Verdana" w:hAnsi="Verdana"/>
                <w:sz w:val="14"/>
                <w:szCs w:val="16"/>
              </w:rPr>
              <w:t xml:space="preserve">) bezplatné jízdenky.</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uživatelů</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9</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Další sdílená mobilita a mobilita na vyžádání</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Počet uživatelů sdílené mobility a mobility na vyžádání podpořených opatřeními a investicemi financovanými z fondu.</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uživatelů</w:t>
            </w:r>
            <w:r>
              <w:rPr>
                <w:rFonts w:ascii="Verdana" w:hAnsi="Verdana"/>
                <w:sz w:val="16"/>
                <w:szCs w:val="16"/>
              </w:rPr>
            </w:r>
            <w:r>
              <w:rPr>
                <w:rFonts w:ascii="Verdana" w:hAnsi="Verdana"/>
                <w:sz w:val="16"/>
                <w:szCs w:val="16"/>
              </w:rPr>
            </w:r>
          </w:p>
          <w:p>
            <w:pPr>
              <w:pBdr/>
              <w:spacing/>
              <w:ind/>
              <w:rPr>
                <w:rFonts w:ascii="Verdana" w:hAnsi="Verdana"/>
                <w:sz w:val="16"/>
                <w:szCs w:val="16"/>
              </w:rPr>
            </w:pPr>
            <w:r>
              <w:rPr>
                <w:rFonts w:ascii="Verdana" w:hAnsi="Verdana"/>
                <w:sz w:val="16"/>
                <w:szCs w:val="16"/>
              </w:rPr>
              <w:t xml:space="preserve">/ jednotky</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10</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Podpořená specializovaná cyklistická infrastruktura</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Délka specializované cyklistické infrastruktury nově vybudované nebo výrazně modernizované v rámci projektů podpořených z fondu. Specializovaná cyklistická infrastruktura zahrnuje cyklistická zařízení oddělená od silnic pro provoz vozidel nebo jiných část</w:t>
            </w:r>
            <w:r>
              <w:rPr>
                <w:rFonts w:ascii="Verdana" w:hAnsi="Verdana"/>
                <w:sz w:val="14"/>
                <w:szCs w:val="16"/>
              </w:rPr>
              <w:t xml:space="preserve">í téže silnice strukturálními prostředky (například obrubníky a zábrany), cyklistické stezky, cyklistické tunely atd. U cyklistické infrastruktury s oddělenými jednosměrnými pruhy (například na každé straně silnice) se délka měří jako délka jízdního pruhu.</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Počet km</w:t>
            </w:r>
            <w:r>
              <w:rPr>
                <w:rFonts w:ascii="Verdana" w:hAnsi="Verdana"/>
                <w:sz w:val="16"/>
                <w:szCs w:val="16"/>
              </w:rPr>
            </w:r>
            <w:r>
              <w:rPr>
                <w:rFonts w:ascii="Verdana" w:hAnsi="Verdana"/>
                <w:sz w:val="16"/>
                <w:szCs w:val="16"/>
              </w:rPr>
            </w:r>
          </w:p>
        </w:tc>
      </w:tr>
      <w:tr>
        <w:trPr/>
        <w:tc>
          <w:tcPr>
            <w:gridSpan w:val="4"/>
            <w:shd w:val="clear" w:color="auto" w:fill="d5dce4" w:themeFill="text2" w:themeFillTint="33"/>
            <w:tcBorders/>
            <w:tcW w:w="10349" w:type="dxa"/>
            <w:textDirection w:val="lrTb"/>
            <w:noWrap w:val="false"/>
          </w:tcPr>
          <w:p>
            <w:pPr>
              <w:pBdr/>
              <w:spacing/>
              <w:ind/>
              <w:rPr>
                <w:rFonts w:ascii="Verdana" w:hAnsi="Verdana"/>
                <w:sz w:val="12"/>
                <w:szCs w:val="16"/>
              </w:rPr>
            </w:pPr>
            <w:r>
              <w:rPr>
                <w:rFonts w:ascii="Verdana" w:hAnsi="Verdana"/>
                <w:sz w:val="12"/>
                <w:szCs w:val="16"/>
              </w:rPr>
              <w:t xml:space="preserve">Ukazatel výstupů</w:t>
            </w:r>
            <w:r>
              <w:rPr>
                <w:rFonts w:ascii="Verdana" w:hAnsi="Verdana"/>
                <w:sz w:val="12"/>
                <w:szCs w:val="16"/>
              </w:rPr>
            </w:r>
            <w:r>
              <w:rPr>
                <w:rFonts w:ascii="Verdana" w:hAnsi="Verdana"/>
                <w:sz w:val="12"/>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11</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Snížení počtu zranitelných uživatelů dopravy</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Snížení počtu zranitelných uživatelů dopravy v důsledku opatření a investic financovaných z fondu.</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 </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12</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Snížení počtu domácností trpících dopravní chudobou</w:t>
            </w:r>
            <w:r>
              <w:rPr>
                <w:rFonts w:ascii="Verdana" w:hAnsi="Verdana"/>
                <w:sz w:val="16"/>
                <w:szCs w:val="16"/>
              </w:rPr>
            </w:r>
            <w:r>
              <w:rPr>
                <w:rFonts w:ascii="Verdana" w:hAnsi="Verdana"/>
                <w:sz w:val="16"/>
                <w:szCs w:val="16"/>
              </w:rPr>
            </w:r>
          </w:p>
        </w:tc>
        <w:tc>
          <w:tcPr>
            <w:tcBorders/>
            <w:tcW w:w="5528" w:type="dxa"/>
            <w:textDirection w:val="lrTb"/>
            <w:noWrap w:val="false"/>
          </w:tcPr>
          <w:p>
            <w:pPr>
              <w:pBdr/>
              <w:spacing/>
              <w:ind/>
              <w:rPr>
                <w:rFonts w:ascii="Verdana" w:hAnsi="Verdana"/>
                <w:sz w:val="14"/>
                <w:szCs w:val="16"/>
              </w:rPr>
            </w:pPr>
            <w:r>
              <w:rPr>
                <w:rFonts w:ascii="Verdana" w:hAnsi="Verdana"/>
                <w:sz w:val="14"/>
                <w:szCs w:val="16"/>
              </w:rPr>
              <w:t xml:space="preserve">Snížení počtu domácností trpících dopravní chudobou v důsledku opatření a investic financovaných z fondu.</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w:t>
            </w:r>
            <w:r>
              <w:rPr>
                <w:rFonts w:ascii="Verdana" w:hAnsi="Verdana"/>
                <w:sz w:val="16"/>
                <w:szCs w:val="16"/>
              </w:rPr>
            </w:r>
            <w:r>
              <w:rPr>
                <w:rFonts w:ascii="Verdana" w:hAnsi="Verdana"/>
                <w:sz w:val="16"/>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13</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Snížení emisí skleníkových plynů v odvětví silniční dopravy</w:t>
            </w:r>
            <w:r>
              <w:rPr>
                <w:rFonts w:ascii="Verdana" w:hAnsi="Verdana"/>
                <w:sz w:val="16"/>
                <w:szCs w:val="16"/>
              </w:rPr>
            </w:r>
            <w:r>
              <w:rPr>
                <w:rFonts w:ascii="Verdana" w:hAnsi="Verdana"/>
                <w:sz w:val="16"/>
                <w:szCs w:val="16"/>
              </w:rPr>
            </w:r>
          </w:p>
        </w:tc>
        <w:tc>
          <w:tcPr>
            <w:tcBorders/>
            <w:tcW w:w="5528" w:type="dxa"/>
            <w:textDirection w:val="lrTb"/>
            <w:noWrap w:val="false"/>
          </w:tcPr>
          <w:p>
            <w:pPr>
              <w:pStyle w:val="885"/>
              <w:pBdr/>
              <w:spacing/>
              <w:ind/>
              <w:rPr>
                <w:rFonts w:ascii="Verdana" w:hAnsi="Verdana"/>
                <w:sz w:val="14"/>
                <w:szCs w:val="16"/>
              </w:rPr>
            </w:pPr>
            <w:r>
              <w:rPr>
                <w:rFonts w:ascii="Verdana" w:hAnsi="Verdana"/>
                <w:sz w:val="14"/>
                <w:szCs w:val="16"/>
              </w:rPr>
              <w:t xml:space="preserve">Členské státy podají zprávu o snížení emisí skleníkových plynů v odvětví silniční dopravy v důsledku opatření a investic financovaných z fondu.</w:t>
            </w:r>
            <w:r>
              <w:rPr>
                <w:rFonts w:ascii="Verdana" w:hAnsi="Verdana"/>
                <w:sz w:val="14"/>
                <w:szCs w:val="16"/>
              </w:rPr>
            </w:r>
            <w:r>
              <w:rPr>
                <w:rFonts w:ascii="Verdana" w:hAnsi="Verdana"/>
                <w:sz w:val="14"/>
                <w:szCs w:val="16"/>
              </w:rPr>
            </w:r>
          </w:p>
          <w:p>
            <w:pPr>
              <w:pBdr/>
              <w:spacing/>
              <w:ind/>
              <w:rPr>
                <w:rFonts w:ascii="Verdana" w:hAnsi="Verdana"/>
                <w:sz w:val="14"/>
                <w:szCs w:val="16"/>
              </w:rPr>
            </w:pPr>
            <w:r>
              <w:rPr>
                <w:rFonts w:ascii="Verdana" w:hAnsi="Verdana"/>
                <w:sz w:val="14"/>
                <w:szCs w:val="16"/>
              </w:rPr>
              <w:t xml:space="preserve">Emise v odvětví silniční dopravy jsou definovány jako emise, na které se vztahuje kapitola </w:t>
            </w:r>
            <w:r>
              <w:rPr>
                <w:rFonts w:ascii="Verdana" w:hAnsi="Verdana"/>
                <w:sz w:val="14"/>
                <w:szCs w:val="16"/>
              </w:rPr>
              <w:t xml:space="preserve">IVa</w:t>
            </w:r>
            <w:r>
              <w:rPr>
                <w:rFonts w:ascii="Verdana" w:hAnsi="Verdana"/>
                <w:sz w:val="14"/>
                <w:szCs w:val="16"/>
              </w:rPr>
              <w:t xml:space="preserve"> směrnice 2003/87/ES (pro odvětví silniční dopravy, zdroje emisí 1A3b vymezené v pokynech IPCC pro národní inventury skleníkových plynů z roku 2006).</w:t>
            </w:r>
            <w:r>
              <w:rPr>
                <w:rFonts w:ascii="Verdana" w:hAnsi="Verdana"/>
                <w:sz w:val="14"/>
                <w:szCs w:val="16"/>
              </w:rPr>
            </w:r>
            <w:r>
              <w:rPr>
                <w:rFonts w:ascii="Verdana" w:hAnsi="Verdana"/>
                <w:sz w:val="14"/>
                <w:szCs w:val="16"/>
              </w:rPr>
            </w:r>
          </w:p>
        </w:tc>
        <w:tc>
          <w:tcPr>
            <w:tcBorders/>
            <w:tcW w:w="1843" w:type="dxa"/>
            <w:textDirection w:val="lrTb"/>
            <w:noWrap w:val="false"/>
          </w:tcPr>
          <w:p>
            <w:pPr>
              <w:pBdr/>
              <w:spacing/>
              <w:ind/>
              <w:rPr>
                <w:rFonts w:ascii="Verdana" w:hAnsi="Verdana"/>
                <w:sz w:val="16"/>
                <w:szCs w:val="16"/>
              </w:rPr>
            </w:pPr>
            <w:r>
              <w:rPr>
                <w:rFonts w:ascii="Verdana" w:hAnsi="Verdana"/>
                <w:sz w:val="16"/>
                <w:szCs w:val="16"/>
              </w:rPr>
              <w:t xml:space="preserve">ktCO2e</w:t>
            </w:r>
            <w:r>
              <w:rPr>
                <w:rFonts w:ascii="Verdana" w:hAnsi="Verdana"/>
                <w:sz w:val="16"/>
                <w:szCs w:val="16"/>
              </w:rPr>
            </w:r>
            <w:r>
              <w:rPr>
                <w:rFonts w:ascii="Verdana" w:hAnsi="Verdana"/>
                <w:sz w:val="16"/>
                <w:szCs w:val="16"/>
              </w:rPr>
            </w:r>
          </w:p>
        </w:tc>
      </w:tr>
      <w:tr>
        <w:trPr/>
        <w:tc>
          <w:tcPr>
            <w:gridSpan w:val="4"/>
            <w:shd w:val="clear" w:color="auto" w:fill="d5dce4" w:themeFill="text2" w:themeFillTint="33"/>
            <w:tcBorders/>
            <w:tcW w:w="10349" w:type="dxa"/>
            <w:textDirection w:val="lrTb"/>
            <w:noWrap w:val="false"/>
          </w:tcPr>
          <w:p>
            <w:pPr>
              <w:pBdr/>
              <w:spacing/>
              <w:ind/>
              <w:rPr>
                <w:rFonts w:ascii="Verdana" w:hAnsi="Verdana"/>
                <w:sz w:val="12"/>
                <w:szCs w:val="16"/>
              </w:rPr>
            </w:pPr>
            <w:r>
              <w:rPr>
                <w:rFonts w:ascii="Verdana" w:hAnsi="Verdana"/>
                <w:sz w:val="12"/>
                <w:szCs w:val="16"/>
              </w:rPr>
              <w:t xml:space="preserve">Dočasná přímá podpora příjmů – ukazatele výstupů </w:t>
            </w:r>
            <w:r>
              <w:rPr>
                <w:rFonts w:ascii="Verdana" w:hAnsi="Verdana"/>
                <w:sz w:val="12"/>
                <w:szCs w:val="16"/>
              </w:rPr>
            </w:r>
            <w:r>
              <w:rPr>
                <w:rFonts w:ascii="Verdana" w:hAnsi="Verdana"/>
                <w:sz w:val="12"/>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14</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Počet zranitelných domácností a zranitelných uživatelů dopravy, kteří obdrželi dočasnou přímou podporu příjmů</w:t>
            </w:r>
            <w:r>
              <w:rPr>
                <w:rFonts w:ascii="Verdana" w:hAnsi="Verdana"/>
                <w:sz w:val="16"/>
                <w:szCs w:val="16"/>
              </w:rPr>
            </w:r>
            <w:r>
              <w:rPr>
                <w:rFonts w:ascii="Verdana" w:hAnsi="Verdana"/>
                <w:sz w:val="16"/>
                <w:szCs w:val="16"/>
              </w:rPr>
            </w:r>
          </w:p>
        </w:tc>
        <w:tc>
          <w:tcPr>
            <w:tcBorders/>
            <w:tcW w:w="5528" w:type="dxa"/>
            <w:textDirection w:val="lrTb"/>
            <w:noWrap w:val="false"/>
          </w:tcPr>
          <w:p>
            <w:pPr>
              <w:pStyle w:val="885"/>
              <w:pBdr/>
              <w:spacing/>
              <w:ind/>
              <w:rPr>
                <w:rFonts w:ascii="Verdana" w:hAnsi="Verdana"/>
                <w:sz w:val="14"/>
                <w:szCs w:val="16"/>
              </w:rPr>
            </w:pPr>
            <w:r>
              <w:rPr>
                <w:rFonts w:ascii="Verdana" w:hAnsi="Verdana"/>
                <w:sz w:val="14"/>
                <w:szCs w:val="16"/>
              </w:rPr>
              <w:t xml:space="preserve">Tento ukazatel uvádí počet zranitelných domácností a zranitelných uživatelů dopravy, kteří obdrželi dočasnou přímou podporu příjmů, čímž se započítávají všichni koneční příjemci dočasné přímé podpory příjmů vyplacené z fondu.</w:t>
            </w:r>
            <w:r>
              <w:rPr>
                <w:rFonts w:ascii="Verdana" w:hAnsi="Verdana"/>
                <w:sz w:val="14"/>
                <w:szCs w:val="16"/>
              </w:rPr>
            </w:r>
            <w:r>
              <w:rPr>
                <w:rFonts w:ascii="Verdana" w:hAnsi="Verdana"/>
                <w:sz w:val="14"/>
                <w:szCs w:val="16"/>
              </w:rPr>
            </w:r>
          </w:p>
          <w:p>
            <w:pPr>
              <w:pBdr/>
              <w:spacing/>
              <w:ind/>
              <w:rPr>
                <w:rFonts w:ascii="Verdana" w:hAnsi="Verdana"/>
                <w:sz w:val="14"/>
                <w:szCs w:val="16"/>
              </w:rPr>
            </w:pPr>
            <w:r>
              <w:rPr>
                <w:rFonts w:ascii="Verdana" w:hAnsi="Verdana"/>
                <w:sz w:val="14"/>
                <w:szCs w:val="16"/>
              </w:rPr>
              <w:t xml:space="preserve">Tento ukazatel se shromažďuje a vykazuje odděleně za zranitelné domácnosti a za zranitelné uživatele dopravy v souladu s čl. 2 body 10 a 12 a čl. 4 odst. 3.</w:t>
            </w:r>
            <w:r>
              <w:rPr>
                <w:rFonts w:ascii="Verdana" w:hAnsi="Verdana"/>
                <w:sz w:val="14"/>
                <w:szCs w:val="16"/>
              </w:rPr>
            </w:r>
            <w:r>
              <w:rPr>
                <w:rFonts w:ascii="Verdana" w:hAnsi="Verdana"/>
                <w:sz w:val="14"/>
                <w:szCs w:val="16"/>
              </w:rPr>
            </w:r>
          </w:p>
        </w:tc>
        <w:tc>
          <w:tcPr>
            <w:tcBorders/>
            <w:tcW w:w="1843" w:type="dxa"/>
            <w:textDirection w:val="lrTb"/>
            <w:noWrap w:val="false"/>
          </w:tcPr>
          <w:p>
            <w:pPr>
              <w:pStyle w:val="885"/>
              <w:pBdr/>
              <w:spacing/>
              <w:ind/>
              <w:rPr>
                <w:rFonts w:ascii="Verdana" w:hAnsi="Verdana"/>
                <w:sz w:val="16"/>
                <w:szCs w:val="16"/>
              </w:rPr>
            </w:pPr>
            <w:r>
              <w:rPr>
                <w:rFonts w:ascii="Verdana" w:hAnsi="Verdana"/>
                <w:sz w:val="16"/>
                <w:szCs w:val="16"/>
              </w:rPr>
              <w:t xml:space="preserve">Počet zranitelných uživatelů dopravy</w:t>
            </w:r>
            <w:r>
              <w:rPr>
                <w:rFonts w:ascii="Verdana" w:hAnsi="Verdana"/>
                <w:sz w:val="16"/>
                <w:szCs w:val="16"/>
              </w:rPr>
            </w:r>
            <w:r>
              <w:rPr>
                <w:rFonts w:ascii="Verdana" w:hAnsi="Verdana"/>
                <w:sz w:val="16"/>
                <w:szCs w:val="16"/>
              </w:rPr>
            </w:r>
          </w:p>
          <w:p>
            <w:pPr>
              <w:pBdr/>
              <w:spacing/>
              <w:ind/>
              <w:rPr>
                <w:rFonts w:ascii="Verdana" w:hAnsi="Verdana"/>
                <w:sz w:val="16"/>
                <w:szCs w:val="16"/>
              </w:rPr>
            </w:pPr>
            <w:r>
              <w:rPr>
                <w:rFonts w:ascii="Verdana" w:hAnsi="Verdana"/>
                <w:sz w:val="16"/>
                <w:szCs w:val="16"/>
              </w:rPr>
              <w:t xml:space="preserve">(jednotka: domácnost) </w:t>
            </w:r>
            <w:r>
              <w:rPr>
                <w:rFonts w:ascii="Verdana" w:hAnsi="Verdana"/>
                <w:sz w:val="16"/>
                <w:szCs w:val="16"/>
              </w:rPr>
            </w:r>
            <w:r>
              <w:rPr>
                <w:rFonts w:ascii="Verdana" w:hAnsi="Verdana"/>
                <w:sz w:val="16"/>
                <w:szCs w:val="16"/>
              </w:rPr>
            </w:r>
          </w:p>
        </w:tc>
      </w:tr>
      <w:tr>
        <w:trPr/>
        <w:tc>
          <w:tcPr>
            <w:gridSpan w:val="4"/>
            <w:shd w:val="clear" w:color="auto" w:fill="d5dce4" w:themeFill="text2" w:themeFillTint="33"/>
            <w:tcBorders/>
            <w:tcW w:w="10349" w:type="dxa"/>
            <w:textDirection w:val="lrTb"/>
            <w:noWrap w:val="false"/>
          </w:tcPr>
          <w:p>
            <w:pPr>
              <w:pStyle w:val="885"/>
              <w:pBdr/>
              <w:spacing/>
              <w:ind/>
              <w:rPr>
                <w:rFonts w:ascii="Verdana" w:hAnsi="Verdana"/>
                <w:sz w:val="12"/>
                <w:szCs w:val="16"/>
              </w:rPr>
            </w:pPr>
            <w:r>
              <w:rPr>
                <w:rFonts w:ascii="Verdana" w:hAnsi="Verdana"/>
                <w:sz w:val="12"/>
                <w:szCs w:val="16"/>
              </w:rPr>
              <w:t xml:space="preserve">Ukazatel výsledků</w:t>
            </w:r>
            <w:r>
              <w:rPr>
                <w:rFonts w:ascii="Verdana" w:hAnsi="Verdana"/>
                <w:sz w:val="12"/>
                <w:szCs w:val="16"/>
              </w:rPr>
            </w:r>
            <w:r>
              <w:rPr>
                <w:rFonts w:ascii="Verdana" w:hAnsi="Verdana"/>
                <w:sz w:val="12"/>
                <w:szCs w:val="16"/>
              </w:rPr>
            </w:r>
          </w:p>
        </w:tc>
      </w:tr>
      <w:tr>
        <w:trPr/>
        <w:tc>
          <w:tcPr>
            <w:tcBorders/>
            <w:tcW w:w="370" w:type="dxa"/>
            <w:textDirection w:val="lrTb"/>
            <w:noWrap w:val="false"/>
          </w:tcPr>
          <w:p>
            <w:pPr>
              <w:pBdr/>
              <w:spacing/>
              <w:ind/>
              <w:rPr>
                <w:rFonts w:ascii="Verdana" w:hAnsi="Verdana"/>
                <w:sz w:val="12"/>
                <w:szCs w:val="16"/>
              </w:rPr>
            </w:pPr>
            <w:r>
              <w:rPr>
                <w:rFonts w:ascii="Verdana" w:hAnsi="Verdana"/>
                <w:sz w:val="12"/>
                <w:szCs w:val="16"/>
              </w:rPr>
              <w:t xml:space="preserve">15</w:t>
            </w:r>
            <w:r>
              <w:rPr>
                <w:rFonts w:ascii="Verdana" w:hAnsi="Verdana"/>
                <w:sz w:val="12"/>
                <w:szCs w:val="16"/>
              </w:rPr>
            </w:r>
            <w:r>
              <w:rPr>
                <w:rFonts w:ascii="Verdana" w:hAnsi="Verdana"/>
                <w:sz w:val="12"/>
                <w:szCs w:val="16"/>
              </w:rPr>
            </w:r>
          </w:p>
        </w:tc>
        <w:tc>
          <w:tcPr>
            <w:tcBorders/>
            <w:tcW w:w="2608" w:type="dxa"/>
            <w:textDirection w:val="lrTb"/>
            <w:noWrap w:val="false"/>
          </w:tcPr>
          <w:p>
            <w:pPr>
              <w:pBdr/>
              <w:spacing/>
              <w:ind/>
              <w:rPr>
                <w:rFonts w:ascii="Verdana" w:hAnsi="Verdana"/>
                <w:sz w:val="16"/>
                <w:szCs w:val="16"/>
              </w:rPr>
            </w:pPr>
            <w:r>
              <w:rPr>
                <w:rFonts w:ascii="Verdana" w:hAnsi="Verdana"/>
                <w:sz w:val="16"/>
                <w:szCs w:val="16"/>
              </w:rPr>
              <w:t xml:space="preserve">Průměrná dočasná přímá podpora příjmů na zranitelnou domácnost a zranitelného uživatele dopravy</w:t>
            </w:r>
            <w:r>
              <w:rPr>
                <w:rFonts w:ascii="Verdana" w:hAnsi="Verdana"/>
                <w:sz w:val="16"/>
                <w:szCs w:val="16"/>
              </w:rPr>
            </w:r>
            <w:r>
              <w:rPr>
                <w:rFonts w:ascii="Verdana" w:hAnsi="Verdana"/>
                <w:sz w:val="16"/>
                <w:szCs w:val="16"/>
              </w:rPr>
            </w:r>
          </w:p>
        </w:tc>
        <w:tc>
          <w:tcPr>
            <w:tcBorders/>
            <w:tcW w:w="5528" w:type="dxa"/>
            <w:textDirection w:val="lrTb"/>
            <w:noWrap w:val="false"/>
          </w:tcPr>
          <w:p>
            <w:pPr>
              <w:pStyle w:val="885"/>
              <w:pBdr/>
              <w:spacing/>
              <w:ind/>
              <w:rPr>
                <w:rFonts w:ascii="Verdana" w:hAnsi="Verdana"/>
                <w:sz w:val="14"/>
                <w:szCs w:val="16"/>
              </w:rPr>
            </w:pPr>
            <w:r>
              <w:rPr>
                <w:rFonts w:ascii="Verdana" w:hAnsi="Verdana"/>
                <w:sz w:val="14"/>
                <w:szCs w:val="16"/>
              </w:rPr>
              <w:t xml:space="preserve">Tento ukazatel uvádí průměrnou výši dočasné přímé podpory příjmů obdržené v rámci fondu na zranitelnou domácnost a zranitelného uživatele dopravy.</w:t>
            </w:r>
            <w:r>
              <w:rPr>
                <w:rFonts w:ascii="Verdana" w:hAnsi="Verdana"/>
                <w:sz w:val="14"/>
                <w:szCs w:val="16"/>
              </w:rPr>
            </w:r>
            <w:r>
              <w:rPr>
                <w:rFonts w:ascii="Verdana" w:hAnsi="Verdana"/>
                <w:sz w:val="14"/>
                <w:szCs w:val="16"/>
              </w:rPr>
            </w:r>
          </w:p>
        </w:tc>
        <w:tc>
          <w:tcPr>
            <w:tcBorders/>
            <w:tcW w:w="1843" w:type="dxa"/>
            <w:textDirection w:val="lrTb"/>
            <w:noWrap w:val="false"/>
          </w:tcPr>
          <w:p>
            <w:pPr>
              <w:pStyle w:val="885"/>
              <w:pBdr/>
              <w:spacing/>
              <w:ind/>
              <w:rPr>
                <w:rFonts w:ascii="Verdana" w:hAnsi="Verdana"/>
                <w:sz w:val="16"/>
                <w:szCs w:val="16"/>
              </w:rPr>
            </w:pPr>
            <w:r>
              <w:rPr>
                <w:rFonts w:ascii="Verdana" w:hAnsi="Verdana"/>
                <w:sz w:val="16"/>
                <w:szCs w:val="16"/>
              </w:rPr>
              <w:t xml:space="preserve">EUR/domácnost (odvětví budov)</w:t>
            </w:r>
            <w:r>
              <w:rPr>
                <w:rFonts w:ascii="Verdana" w:hAnsi="Verdana"/>
                <w:sz w:val="16"/>
                <w:szCs w:val="16"/>
              </w:rPr>
            </w:r>
            <w:r>
              <w:rPr>
                <w:rFonts w:ascii="Verdana" w:hAnsi="Verdana"/>
                <w:sz w:val="16"/>
                <w:szCs w:val="16"/>
              </w:rPr>
            </w:r>
          </w:p>
        </w:tc>
      </w:tr>
    </w:tbl>
    <w:p>
      <w:pPr>
        <w:pBdr/>
        <w:spacing/>
        <w:ind/>
        <w:rPr>
          <w:rFonts w:ascii="Verdana" w:hAnsi="Verdana"/>
        </w:rPr>
      </w:pPr>
      <w:r>
        <w:rPr>
          <w:rFonts w:ascii="Verdana" w:hAnsi="Verdana"/>
        </w:rPr>
      </w:r>
      <w:r>
        <w:rPr>
          <w:rFonts w:ascii="Verdana" w:hAnsi="Verdana"/>
        </w:rPr>
      </w:r>
      <w:r>
        <w:rPr>
          <w:rFonts w:ascii="Verdana" w:hAnsi="Verdana"/>
        </w:rPr>
      </w:r>
    </w:p>
    <w:p>
      <w:pPr>
        <w:pBdr/>
        <w:spacing/>
        <w:ind/>
        <w:rPr>
          <w:rFonts w:ascii="Verdana" w:hAnsi="Verdana"/>
          <w:b/>
        </w:rPr>
      </w:pPr>
      <w:r>
        <w:rPr>
          <w:rFonts w:ascii="Verdana" w:hAnsi="Verdana"/>
          <w:b/>
        </w:rPr>
      </w:r>
      <w:r>
        <w:rPr>
          <w:rFonts w:ascii="Verdana" w:hAnsi="Verdana"/>
          <w:b/>
        </w:rPr>
      </w:r>
      <w:r>
        <w:rPr>
          <w:rFonts w:ascii="Verdana" w:hAnsi="Verdana"/>
          <w:b/>
        </w:rPr>
      </w:r>
    </w:p>
    <w:p>
      <w:pPr>
        <w:pBdr/>
        <w:spacing/>
        <w:ind/>
        <w:rPr>
          <w:rFonts w:ascii="Verdana" w:hAnsi="Verdana"/>
          <w:b/>
        </w:rPr>
      </w:pPr>
      <w:r>
        <w:rPr>
          <w:rFonts w:ascii="Verdana" w:hAnsi="Verdana"/>
          <w:b/>
        </w:rPr>
        <w:t xml:space="preserve">Vazba na územní dimenzi</w:t>
      </w:r>
      <w:r>
        <w:rPr>
          <w:rFonts w:ascii="Verdana" w:hAnsi="Verdana"/>
          <w:b/>
        </w:rPr>
      </w:r>
      <w:r>
        <w:rPr>
          <w:rFonts w:ascii="Verdana" w:hAnsi="Verdana"/>
          <w:b/>
        </w:rPr>
      </w:r>
    </w:p>
    <w:p>
      <w:pPr>
        <w:pStyle w:val="886"/>
        <w:numPr>
          <w:ilvl w:val="0"/>
          <w:numId w:val="4"/>
        </w:numPr>
        <w:pBdr/>
        <w:spacing/>
        <w:ind/>
        <w:rPr>
          <w:rFonts w:ascii="Verdana" w:hAnsi="Verdana"/>
        </w:rPr>
      </w:pPr>
      <w:r>
        <w:rPr>
          <w:rFonts w:ascii="Verdana" w:hAnsi="Verdana"/>
        </w:rPr>
        <w:t xml:space="preserve"> Odlehlé regiony s nízkou obslužností VHD</w:t>
      </w:r>
      <w:r>
        <w:rPr>
          <w:rFonts w:ascii="Verdana" w:hAnsi="Verdana"/>
        </w:rPr>
      </w:r>
      <w:r>
        <w:rPr>
          <w:rFonts w:ascii="Verdana" w:hAnsi="Verdana"/>
        </w:rPr>
      </w:r>
    </w:p>
    <w:p>
      <w:pPr>
        <w:pBdr/>
        <w:spacing/>
        <w:ind/>
        <w:rPr>
          <w:rFonts w:ascii="Verdana" w:hAnsi="Verdana"/>
        </w:rPr>
      </w:pPr>
      <w:r>
        <w:rPr>
          <w:rFonts w:ascii="Verdana" w:hAnsi="Verdana"/>
        </w:rPr>
        <w:t xml:space="preserve">Jedná se o regiony (ORP vč. jejich částí), které jsou nedostatečně obslouženy VHD (nízký počet spojů), obslužnost je determinována jejich </w:t>
      </w:r>
      <w:r>
        <w:rPr>
          <w:rFonts w:ascii="Verdana" w:hAnsi="Verdana"/>
        </w:rPr>
        <w:t xml:space="preserve">polohou</w:t>
      </w:r>
      <w:r>
        <w:rPr>
          <w:rFonts w:ascii="Verdana" w:hAnsi="Verdana"/>
        </w:rPr>
        <w:t xml:space="preserve"> a tudíž </w:t>
      </w:r>
      <w:r>
        <w:rPr>
          <w:rFonts w:ascii="Verdana" w:hAnsi="Verdana"/>
        </w:rPr>
        <w:t xml:space="preserve">vzniká závislost na IAD = jedná se o regiony, které jsou vysoce ohroženy dopravní chudobou.</w:t>
      </w:r>
      <w:r>
        <w:rPr>
          <w:rFonts w:ascii="Verdana" w:hAnsi="Verdana"/>
        </w:rPr>
      </w:r>
      <w:r>
        <w:rPr>
          <w:rFonts w:ascii="Verdana" w:hAnsi="Verdana"/>
        </w:rPr>
      </w:r>
    </w:p>
    <w:p>
      <w:pPr>
        <w:pStyle w:val="886"/>
        <w:numPr>
          <w:ilvl w:val="0"/>
          <w:numId w:val="4"/>
        </w:numPr>
        <w:pBdr/>
        <w:spacing/>
        <w:ind/>
        <w:rPr>
          <w:rFonts w:ascii="Verdana" w:hAnsi="Verdana"/>
        </w:rPr>
      </w:pPr>
      <w:r>
        <w:rPr>
          <w:rFonts w:ascii="Verdana" w:hAnsi="Verdana"/>
        </w:rPr>
        <w:t xml:space="preserve"> Jiné (prosím uveďte a zdůvodněte vazbu na cílovou skupinu dle nařízení o SKF)</w:t>
      </w:r>
      <w:r>
        <w:rPr>
          <w:rFonts w:ascii="Verdana" w:hAnsi="Verdana"/>
        </w:rPr>
      </w:r>
      <w:r>
        <w:rPr>
          <w:rFonts w:ascii="Verdana" w:hAnsi="Verdana"/>
        </w:rPr>
      </w:r>
    </w:p>
    <w:p>
      <w:pPr>
        <w:pBdr/>
        <w:spacing/>
        <w:ind/>
        <w:rPr>
          <w:rFonts w:ascii="Verdana" w:hAnsi="Verdana"/>
        </w:rPr>
      </w:pPr>
      <w:r>
        <w:rPr>
          <w:rFonts w:ascii="Verdana" w:hAnsi="Verdana"/>
        </w:rPr>
      </w:r>
      <w:r>
        <w:rPr>
          <w:rFonts w:ascii="Verdana" w:hAnsi="Verdana"/>
        </w:rPr>
      </w:r>
      <w:r>
        <w:rPr>
          <w:rFonts w:ascii="Verdana" w:hAnsi="Verdana"/>
        </w:rPr>
      </w:r>
    </w:p>
    <w:sectPr>
      <w:headerReference w:type="default" r:id="rId9"/>
      <w:footnotePr/>
      <w:endnotePr/>
      <w:type w:val="nextPage"/>
      <w:pgSz w:h="16838" w:orient="portrait" w:w="11906"/>
      <w:pgMar w:top="1417" w:right="1417" w:bottom="1417" w:left="1417" w:header="708" w:footer="708"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Verdana">
    <w:panose1 w:val="020B0604030504040204"/>
  </w:font>
  <w:font w:name="Wingdings">
    <w:panose1 w:val="05010000000000000000"/>
  </w:font>
  <w:font w:name="Courier New">
    <w:panose1 w:val="02070309020205020404"/>
  </w:font>
  <w:font w:name="Symbol">
    <w:panose1 w:val="05010000000000000000"/>
  </w:font>
  <w:font w:name="Times New Roman">
    <w:panose1 w:val="02020603050405020304"/>
  </w:font>
  <w:font w:name="Segoe UI">
    <w:panose1 w:val="020B0502040504020204"/>
  </w:font>
  <w:font w:name="EUAlbertina">
    <w:panose1 w:val="020F0502020204030204"/>
  </w:font>
  <w:font w:name="Calibri-Bold">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7"/>
      <w:pBdr/>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1" locked="0" layoutInCell="1" allowOverlap="1">
              <wp:simplePos x="0" y="0"/>
              <wp:positionH relativeFrom="column">
                <wp:posOffset>4434205</wp:posOffset>
              </wp:positionH>
              <wp:positionV relativeFrom="paragraph">
                <wp:posOffset>-163830</wp:posOffset>
              </wp:positionV>
              <wp:extent cx="1850901" cy="447675"/>
              <wp:effectExtent l="0" t="0" r="0" b="0"/>
              <wp:wrapTight wrapText="bothSides">
                <wp:wrapPolygon edited="1">
                  <wp:start x="1112" y="3677"/>
                  <wp:lineTo x="1112" y="13787"/>
                  <wp:lineTo x="4447" y="16545"/>
                  <wp:lineTo x="13565" y="18383"/>
                  <wp:lineTo x="14677" y="18383"/>
                  <wp:lineTo x="18012" y="16545"/>
                  <wp:lineTo x="20458" y="11949"/>
                  <wp:lineTo x="20236" y="3677"/>
                  <wp:lineTo x="1112" y="3677"/>
                </wp:wrapPolygon>
              </wp:wrapTight>
              <wp:docPr id="1"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5"/>
                      <pic:cNvPicPr>
                        <a:picLocks noChangeAspect="1"/>
                      </pic:cNvPicPr>
                      <pic:nvPr/>
                    </pic:nvPicPr>
                    <pic:blipFill>
                      <a:blip r:embed="rId1"/>
                      <a:srcRect l="0" t="0" r="0" b="61412"/>
                      <a:stretch/>
                    </pic:blipFill>
                    <pic:spPr bwMode="auto">
                      <a:xfrm>
                        <a:off x="0" y="0"/>
                        <a:ext cx="1850901" cy="447675"/>
                      </a:xfrm>
                      <a:prstGeom prst="rect">
                        <a:avLst/>
                      </a:prstGeom>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349.15pt;mso-position-horizontal:absolute;mso-position-vertical-relative:text;margin-top:-12.90pt;mso-position-vertical:absolute;width:145.74pt;height:35.25pt;mso-wrap-distance-left:9.00pt;mso-wrap-distance-top:0.00pt;mso-wrap-distance-right:9.00pt;mso-wrap-distance-bottom:0.00pt;z-index:1;" wrapcoords="5148 17023 5148 63829 20588 76597 62801 85106 67949 85106 83389 76597 94713 55319 93685 17023 5148 17023" stroked="f">
              <w10:wrap type="tight"/>
              <v:imagedata r:id="rId1" o:title=""/>
              <o:lock v:ext="edit" rotation="t"/>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360" w:left="780"/>
      </w:pPr>
      <w:rPr>
        <w:rFonts w:hint="default" w:ascii="Symbol" w:hAnsi="Symbol"/>
      </w:rPr>
      <w:start w:val="1"/>
      <w:suff w:val="tab"/>
    </w:lvl>
    <w:lvl w:ilvl="1">
      <w:isLgl w:val="false"/>
      <w:lvlJc w:val="left"/>
      <w:lvlText w:val="o"/>
      <w:numFmt w:val="bullet"/>
      <w:pPr>
        <w:pBdr/>
        <w:spacing/>
        <w:ind w:hanging="360" w:left="1500"/>
      </w:pPr>
      <w:rPr>
        <w:rFonts w:hint="default" w:ascii="Courier New" w:hAnsi="Courier New" w:cs="Courier New"/>
      </w:rPr>
      <w:start w:val="1"/>
      <w:suff w:val="tab"/>
    </w:lvl>
    <w:lvl w:ilvl="2">
      <w:isLgl w:val="false"/>
      <w:lvlJc w:val="left"/>
      <w:lvlText w:val=""/>
      <w:numFmt w:val="bullet"/>
      <w:pPr>
        <w:pBdr/>
        <w:spacing/>
        <w:ind w:hanging="360" w:left="2220"/>
      </w:pPr>
      <w:rPr>
        <w:rFonts w:hint="default" w:ascii="Wingdings" w:hAnsi="Wingdings"/>
      </w:rPr>
      <w:start w:val="1"/>
      <w:suff w:val="tab"/>
    </w:lvl>
    <w:lvl w:ilvl="3">
      <w:isLgl w:val="false"/>
      <w:lvlJc w:val="left"/>
      <w:lvlText w:val=""/>
      <w:numFmt w:val="bullet"/>
      <w:pPr>
        <w:pBdr/>
        <w:spacing/>
        <w:ind w:hanging="360" w:left="2940"/>
      </w:pPr>
      <w:rPr>
        <w:rFonts w:hint="default" w:ascii="Symbol" w:hAnsi="Symbol"/>
      </w:rPr>
      <w:start w:val="1"/>
      <w:suff w:val="tab"/>
    </w:lvl>
    <w:lvl w:ilvl="4">
      <w:isLgl w:val="false"/>
      <w:lvlJc w:val="left"/>
      <w:lvlText w:val="o"/>
      <w:numFmt w:val="bullet"/>
      <w:pPr>
        <w:pBdr/>
        <w:spacing/>
        <w:ind w:hanging="360" w:left="3660"/>
      </w:pPr>
      <w:rPr>
        <w:rFonts w:hint="default" w:ascii="Courier New" w:hAnsi="Courier New" w:cs="Courier New"/>
      </w:rPr>
      <w:start w:val="1"/>
      <w:suff w:val="tab"/>
    </w:lvl>
    <w:lvl w:ilvl="5">
      <w:isLgl w:val="false"/>
      <w:lvlJc w:val="left"/>
      <w:lvlText w:val=""/>
      <w:numFmt w:val="bullet"/>
      <w:pPr>
        <w:pBdr/>
        <w:spacing/>
        <w:ind w:hanging="360" w:left="4380"/>
      </w:pPr>
      <w:rPr>
        <w:rFonts w:hint="default" w:ascii="Wingdings" w:hAnsi="Wingdings"/>
      </w:rPr>
      <w:start w:val="1"/>
      <w:suff w:val="tab"/>
    </w:lvl>
    <w:lvl w:ilvl="6">
      <w:isLgl w:val="false"/>
      <w:lvlJc w:val="left"/>
      <w:lvlText w:val=""/>
      <w:numFmt w:val="bullet"/>
      <w:pPr>
        <w:pBdr/>
        <w:spacing/>
        <w:ind w:hanging="360" w:left="5100"/>
      </w:pPr>
      <w:rPr>
        <w:rFonts w:hint="default" w:ascii="Symbol" w:hAnsi="Symbol"/>
      </w:rPr>
      <w:start w:val="1"/>
      <w:suff w:val="tab"/>
    </w:lvl>
    <w:lvl w:ilvl="7">
      <w:isLgl w:val="false"/>
      <w:lvlJc w:val="left"/>
      <w:lvlText w:val="o"/>
      <w:numFmt w:val="bullet"/>
      <w:pPr>
        <w:pBdr/>
        <w:spacing/>
        <w:ind w:hanging="360" w:left="5820"/>
      </w:pPr>
      <w:rPr>
        <w:rFonts w:hint="default" w:ascii="Courier New" w:hAnsi="Courier New" w:cs="Courier New"/>
      </w:rPr>
      <w:start w:val="1"/>
      <w:suff w:val="tab"/>
    </w:lvl>
    <w:lvl w:ilvl="8">
      <w:isLgl w:val="false"/>
      <w:lvlJc w:val="left"/>
      <w:lvlText w:val=""/>
      <w:numFmt w:val="bullet"/>
      <w:pPr>
        <w:pBdr/>
        <w:spacing/>
        <w:ind w:hanging="360" w:left="6540"/>
      </w:pPr>
      <w:rPr>
        <w:rFonts w:hint="default" w:ascii="Wingdings" w:hAnsi="Wingdings"/>
      </w:rPr>
      <w:start w:val="1"/>
      <w:suff w:val="tab"/>
    </w:lvl>
  </w:abstractNum>
  <w:abstractNum w:abstractNumId="3">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5">
    <w:lvl w:ilvl="0">
      <w:isLgl w:val="false"/>
      <w:lvlJc w:val="left"/>
      <w:lvlText w:val="•"/>
      <w:numFmt w:val="bullet"/>
      <w:pPr>
        <w:pBdr/>
        <w:tabs>
          <w:tab w:val="num" w:leader="none" w:pos="720"/>
        </w:tabs>
        <w:spacing/>
        <w:ind w:hanging="360" w:left="720"/>
      </w:pPr>
      <w:rPr>
        <w:rFonts w:hint="default" w:ascii="Arial" w:hAnsi="Arial"/>
      </w:rPr>
      <w:start w:val="1"/>
      <w:suff w:val="tab"/>
    </w:lvl>
    <w:lvl w:ilvl="1">
      <w:isLgl w:val="false"/>
      <w:lvlJc w:val="left"/>
      <w:lvlText w:val="•"/>
      <w:numFmt w:val="bullet"/>
      <w:pPr>
        <w:pBdr/>
        <w:tabs>
          <w:tab w:val="num" w:leader="none" w:pos="1440"/>
        </w:tabs>
        <w:spacing/>
        <w:ind w:hanging="360" w:left="1440"/>
      </w:pPr>
      <w:rPr>
        <w:rFonts w:hint="default" w:ascii="Arial" w:hAnsi="Arial"/>
      </w:rPr>
      <w:start w:val="1"/>
      <w:suff w:val="tab"/>
    </w:lvl>
    <w:lvl w:ilvl="2">
      <w:isLgl w:val="false"/>
      <w:lvlJc w:val="left"/>
      <w:lvlText w:val="•"/>
      <w:numFmt w:val="bullet"/>
      <w:pPr>
        <w:pBdr/>
        <w:tabs>
          <w:tab w:val="num" w:leader="none" w:pos="2160"/>
        </w:tabs>
        <w:spacing/>
        <w:ind w:hanging="360" w:left="2160"/>
      </w:pPr>
      <w:rPr>
        <w:rFonts w:hint="default" w:ascii="Arial" w:hAnsi="Arial"/>
      </w:rPr>
      <w:start w:val="1"/>
      <w:suff w:val="tab"/>
    </w:lvl>
    <w:lvl w:ilvl="3">
      <w:isLgl w:val="false"/>
      <w:lvlJc w:val="left"/>
      <w:lvlText w:val="•"/>
      <w:numFmt w:val="bullet"/>
      <w:pPr>
        <w:pBdr/>
        <w:tabs>
          <w:tab w:val="num" w:leader="none" w:pos="2880"/>
        </w:tabs>
        <w:spacing/>
        <w:ind w:hanging="360" w:left="2880"/>
      </w:pPr>
      <w:rPr>
        <w:rFonts w:hint="default" w:ascii="Arial" w:hAnsi="Arial"/>
      </w:rPr>
      <w:start w:val="1"/>
      <w:suff w:val="tab"/>
    </w:lvl>
    <w:lvl w:ilvl="4">
      <w:isLgl w:val="false"/>
      <w:lvlJc w:val="left"/>
      <w:lvlText w:val="•"/>
      <w:numFmt w:val="bullet"/>
      <w:pPr>
        <w:pBdr/>
        <w:tabs>
          <w:tab w:val="num" w:leader="none" w:pos="3600"/>
        </w:tabs>
        <w:spacing/>
        <w:ind w:hanging="360" w:left="3600"/>
      </w:pPr>
      <w:rPr>
        <w:rFonts w:hint="default" w:ascii="Arial" w:hAnsi="Arial"/>
      </w:rPr>
      <w:start w:val="1"/>
      <w:suff w:val="tab"/>
    </w:lvl>
    <w:lvl w:ilvl="5">
      <w:isLgl w:val="false"/>
      <w:lvlJc w:val="left"/>
      <w:lvlText w:val="•"/>
      <w:numFmt w:val="bullet"/>
      <w:pPr>
        <w:pBdr/>
        <w:tabs>
          <w:tab w:val="num" w:leader="none" w:pos="4320"/>
        </w:tabs>
        <w:spacing/>
        <w:ind w:hanging="360" w:left="4320"/>
      </w:pPr>
      <w:rPr>
        <w:rFonts w:hint="default" w:ascii="Arial" w:hAnsi="Arial"/>
      </w:rPr>
      <w:start w:val="1"/>
      <w:suff w:val="tab"/>
    </w:lvl>
    <w:lvl w:ilvl="6">
      <w:isLgl w:val="false"/>
      <w:lvlJc w:val="left"/>
      <w:lvlText w:val="•"/>
      <w:numFmt w:val="bullet"/>
      <w:pPr>
        <w:pBdr/>
        <w:tabs>
          <w:tab w:val="num" w:leader="none" w:pos="5040"/>
        </w:tabs>
        <w:spacing/>
        <w:ind w:hanging="360" w:left="5040"/>
      </w:pPr>
      <w:rPr>
        <w:rFonts w:hint="default" w:ascii="Arial" w:hAnsi="Arial"/>
      </w:rPr>
      <w:start w:val="1"/>
      <w:suff w:val="tab"/>
    </w:lvl>
    <w:lvl w:ilvl="7">
      <w:isLgl w:val="false"/>
      <w:lvlJc w:val="left"/>
      <w:lvlText w:val="•"/>
      <w:numFmt w:val="bullet"/>
      <w:pPr>
        <w:pBdr/>
        <w:tabs>
          <w:tab w:val="num" w:leader="none" w:pos="5760"/>
        </w:tabs>
        <w:spacing/>
        <w:ind w:hanging="360" w:left="5760"/>
      </w:pPr>
      <w:rPr>
        <w:rFonts w:hint="default" w:ascii="Arial" w:hAnsi="Arial"/>
      </w:rPr>
      <w:start w:val="1"/>
      <w:suff w:val="tab"/>
    </w:lvl>
    <w:lvl w:ilvl="8">
      <w:isLgl w:val="false"/>
      <w:lvlJc w:val="left"/>
      <w:lvlText w:val="•"/>
      <w:numFmt w:val="bullet"/>
      <w:pPr>
        <w:pBdr/>
        <w:tabs>
          <w:tab w:val="num" w:leader="none" w:pos="6480"/>
        </w:tabs>
        <w:spacing/>
        <w:ind w:hanging="360" w:left="6480"/>
      </w:pPr>
      <w:rPr>
        <w:rFonts w:hint="default" w:ascii="Arial" w:hAnsi="Arial"/>
      </w:rPr>
      <w:start w:val="1"/>
      <w:suff w:val="tab"/>
    </w:lvl>
  </w:abstractNum>
  <w:abstractNum w:abstractNumId="6">
    <w:lvl w:ilvl="0">
      <w:isLgl w:val="false"/>
      <w:lvlJc w:val="left"/>
      <w:lvlText w:val="(%1)"/>
      <w:numFmt w:val="decimal"/>
      <w:pPr>
        <w:pBdr/>
        <w:spacing/>
        <w:ind w:hanging="360" w:left="720"/>
      </w:pPr>
      <w:rPr>
        <w:rFonts w:ascii="Verdana" w:hAnsi="Verdana" w:eastAsiaTheme="minorHAnsi" w:cstheme="minorBidi"/>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5"/>
  </w:num>
  <w:num w:numId="2">
    <w:abstractNumId w:val="4"/>
  </w:num>
  <w:num w:numId="3">
    <w:abstractNumId w:val="3"/>
  </w:num>
  <w:num w:numId="4">
    <w:abstractNumId w:val="6"/>
  </w:num>
  <w:num w:numId="5">
    <w:abstractNumId w:val="0"/>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cs-CZ"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91" w:default="1">
    <w:name w:val="Normal"/>
    <w:qFormat/>
    <w:pPr>
      <w:pBdr/>
      <w:spacing/>
      <w:ind/>
    </w:pPr>
  </w:style>
  <w:style w:type="paragraph" w:styleId="692">
    <w:name w:val="Heading 1"/>
    <w:basedOn w:val="691"/>
    <w:next w:val="691"/>
    <w:link w:val="719"/>
    <w:uiPriority w:val="9"/>
    <w:qFormat/>
    <w:pPr>
      <w:keepNext w:val="true"/>
      <w:keepLines w:val="true"/>
      <w:pBdr/>
      <w:spacing w:after="200" w:before="480"/>
      <w:ind/>
      <w:outlineLvl w:val="0"/>
    </w:pPr>
    <w:rPr>
      <w:rFonts w:ascii="Arial" w:hAnsi="Arial" w:eastAsia="Arial" w:cs="Arial"/>
      <w:sz w:val="40"/>
      <w:szCs w:val="40"/>
    </w:rPr>
  </w:style>
  <w:style w:type="paragraph" w:styleId="693">
    <w:name w:val="Heading 2"/>
    <w:basedOn w:val="691"/>
    <w:next w:val="691"/>
    <w:link w:val="720"/>
    <w:uiPriority w:val="9"/>
    <w:unhideWhenUsed/>
    <w:qFormat/>
    <w:pPr>
      <w:keepNext w:val="true"/>
      <w:keepLines w:val="true"/>
      <w:pBdr/>
      <w:spacing w:after="200" w:before="360"/>
      <w:ind/>
      <w:outlineLvl w:val="1"/>
    </w:pPr>
    <w:rPr>
      <w:rFonts w:ascii="Arial" w:hAnsi="Arial" w:eastAsia="Arial" w:cs="Arial"/>
      <w:sz w:val="34"/>
    </w:rPr>
  </w:style>
  <w:style w:type="paragraph" w:styleId="694">
    <w:name w:val="Heading 3"/>
    <w:basedOn w:val="691"/>
    <w:next w:val="691"/>
    <w:link w:val="721"/>
    <w:uiPriority w:val="9"/>
    <w:unhideWhenUsed/>
    <w:qFormat/>
    <w:pPr>
      <w:keepNext w:val="true"/>
      <w:keepLines w:val="true"/>
      <w:pBdr/>
      <w:spacing w:after="200" w:before="320"/>
      <w:ind/>
      <w:outlineLvl w:val="2"/>
    </w:pPr>
    <w:rPr>
      <w:rFonts w:ascii="Arial" w:hAnsi="Arial" w:eastAsia="Arial" w:cs="Arial"/>
      <w:sz w:val="30"/>
      <w:szCs w:val="30"/>
    </w:rPr>
  </w:style>
  <w:style w:type="paragraph" w:styleId="695">
    <w:name w:val="Heading 4"/>
    <w:basedOn w:val="691"/>
    <w:next w:val="691"/>
    <w:link w:val="722"/>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696">
    <w:name w:val="Heading 5"/>
    <w:basedOn w:val="691"/>
    <w:next w:val="691"/>
    <w:link w:val="723"/>
    <w:uiPriority w:val="9"/>
    <w:unhideWhenUsed/>
    <w:qFormat/>
    <w:pPr>
      <w:keepNext w:val="true"/>
      <w:keepLines w:val="true"/>
      <w:pBdr/>
      <w:spacing w:after="200" w:before="320"/>
      <w:ind/>
      <w:outlineLvl w:val="4"/>
    </w:pPr>
    <w:rPr>
      <w:rFonts w:ascii="Arial" w:hAnsi="Arial" w:eastAsia="Arial" w:cs="Arial"/>
      <w:b/>
      <w:bCs/>
      <w:sz w:val="24"/>
      <w:szCs w:val="24"/>
    </w:rPr>
  </w:style>
  <w:style w:type="paragraph" w:styleId="697">
    <w:name w:val="Heading 6"/>
    <w:basedOn w:val="691"/>
    <w:next w:val="691"/>
    <w:link w:val="724"/>
    <w:uiPriority w:val="9"/>
    <w:unhideWhenUsed/>
    <w:qFormat/>
    <w:pPr>
      <w:keepNext w:val="true"/>
      <w:keepLines w:val="true"/>
      <w:pBdr/>
      <w:spacing w:after="200" w:before="320"/>
      <w:ind/>
      <w:outlineLvl w:val="5"/>
    </w:pPr>
    <w:rPr>
      <w:rFonts w:ascii="Arial" w:hAnsi="Arial" w:eastAsia="Arial" w:cs="Arial"/>
      <w:b/>
      <w:bCs/>
    </w:rPr>
  </w:style>
  <w:style w:type="paragraph" w:styleId="698">
    <w:name w:val="Heading 7"/>
    <w:basedOn w:val="691"/>
    <w:next w:val="691"/>
    <w:link w:val="725"/>
    <w:uiPriority w:val="9"/>
    <w:unhideWhenUsed/>
    <w:qFormat/>
    <w:pPr>
      <w:keepNext w:val="true"/>
      <w:keepLines w:val="true"/>
      <w:pBdr/>
      <w:spacing w:after="200" w:before="320"/>
      <w:ind/>
      <w:outlineLvl w:val="6"/>
    </w:pPr>
    <w:rPr>
      <w:rFonts w:ascii="Arial" w:hAnsi="Arial" w:eastAsia="Arial" w:cs="Arial"/>
      <w:b/>
      <w:bCs/>
      <w:i/>
      <w:iCs/>
    </w:rPr>
  </w:style>
  <w:style w:type="paragraph" w:styleId="699">
    <w:name w:val="Heading 8"/>
    <w:basedOn w:val="691"/>
    <w:next w:val="691"/>
    <w:link w:val="726"/>
    <w:uiPriority w:val="9"/>
    <w:unhideWhenUsed/>
    <w:qFormat/>
    <w:pPr>
      <w:keepNext w:val="true"/>
      <w:keepLines w:val="true"/>
      <w:pBdr/>
      <w:spacing w:after="200" w:before="320"/>
      <w:ind/>
      <w:outlineLvl w:val="7"/>
    </w:pPr>
    <w:rPr>
      <w:rFonts w:ascii="Arial" w:hAnsi="Arial" w:eastAsia="Arial" w:cs="Arial"/>
      <w:i/>
      <w:iCs/>
    </w:rPr>
  </w:style>
  <w:style w:type="paragraph" w:styleId="700">
    <w:name w:val="Heading 9"/>
    <w:basedOn w:val="691"/>
    <w:next w:val="691"/>
    <w:link w:val="727"/>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01" w:default="1">
    <w:name w:val="Default Paragraph Font"/>
    <w:uiPriority w:val="1"/>
    <w:semiHidden/>
    <w:unhideWhenUsed/>
    <w:pPr>
      <w:pBdr/>
      <w:spacing/>
      <w:ind/>
    </w:pPr>
  </w:style>
  <w:style w:type="table" w:styleId="70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03" w:default="1">
    <w:name w:val="No List"/>
    <w:uiPriority w:val="99"/>
    <w:semiHidden/>
    <w:unhideWhenUsed/>
    <w:pPr>
      <w:pBdr/>
      <w:spacing/>
      <w:ind/>
    </w:pPr>
  </w:style>
  <w:style w:type="character" w:styleId="704" w:customStyle="1">
    <w:name w:val="Heading 1 Char"/>
    <w:basedOn w:val="701"/>
    <w:uiPriority w:val="9"/>
    <w:pPr>
      <w:pBdr/>
      <w:spacing/>
      <w:ind/>
    </w:pPr>
    <w:rPr>
      <w:rFonts w:ascii="Arial" w:hAnsi="Arial" w:eastAsia="Arial" w:cs="Arial"/>
      <w:sz w:val="40"/>
      <w:szCs w:val="40"/>
    </w:rPr>
  </w:style>
  <w:style w:type="character" w:styleId="705" w:customStyle="1">
    <w:name w:val="Heading 2 Char"/>
    <w:basedOn w:val="701"/>
    <w:uiPriority w:val="9"/>
    <w:pPr>
      <w:pBdr/>
      <w:spacing/>
      <w:ind/>
    </w:pPr>
    <w:rPr>
      <w:rFonts w:ascii="Arial" w:hAnsi="Arial" w:eastAsia="Arial" w:cs="Arial"/>
      <w:sz w:val="34"/>
    </w:rPr>
  </w:style>
  <w:style w:type="character" w:styleId="706" w:customStyle="1">
    <w:name w:val="Heading 3 Char"/>
    <w:basedOn w:val="701"/>
    <w:uiPriority w:val="9"/>
    <w:pPr>
      <w:pBdr/>
      <w:spacing/>
      <w:ind/>
    </w:pPr>
    <w:rPr>
      <w:rFonts w:ascii="Arial" w:hAnsi="Arial" w:eastAsia="Arial" w:cs="Arial"/>
      <w:sz w:val="30"/>
      <w:szCs w:val="30"/>
    </w:rPr>
  </w:style>
  <w:style w:type="character" w:styleId="707" w:customStyle="1">
    <w:name w:val="Heading 4 Char"/>
    <w:basedOn w:val="701"/>
    <w:uiPriority w:val="9"/>
    <w:pPr>
      <w:pBdr/>
      <w:spacing/>
      <w:ind/>
    </w:pPr>
    <w:rPr>
      <w:rFonts w:ascii="Arial" w:hAnsi="Arial" w:eastAsia="Arial" w:cs="Arial"/>
      <w:b/>
      <w:bCs/>
      <w:sz w:val="26"/>
      <w:szCs w:val="26"/>
    </w:rPr>
  </w:style>
  <w:style w:type="character" w:styleId="708" w:customStyle="1">
    <w:name w:val="Heading 5 Char"/>
    <w:basedOn w:val="701"/>
    <w:uiPriority w:val="9"/>
    <w:pPr>
      <w:pBdr/>
      <w:spacing/>
      <w:ind/>
    </w:pPr>
    <w:rPr>
      <w:rFonts w:ascii="Arial" w:hAnsi="Arial" w:eastAsia="Arial" w:cs="Arial"/>
      <w:b/>
      <w:bCs/>
      <w:sz w:val="24"/>
      <w:szCs w:val="24"/>
    </w:rPr>
  </w:style>
  <w:style w:type="character" w:styleId="709" w:customStyle="1">
    <w:name w:val="Heading 6 Char"/>
    <w:basedOn w:val="701"/>
    <w:uiPriority w:val="9"/>
    <w:pPr>
      <w:pBdr/>
      <w:spacing/>
      <w:ind/>
    </w:pPr>
    <w:rPr>
      <w:rFonts w:ascii="Arial" w:hAnsi="Arial" w:eastAsia="Arial" w:cs="Arial"/>
      <w:b/>
      <w:bCs/>
      <w:sz w:val="22"/>
      <w:szCs w:val="22"/>
    </w:rPr>
  </w:style>
  <w:style w:type="character" w:styleId="710" w:customStyle="1">
    <w:name w:val="Heading 7 Char"/>
    <w:basedOn w:val="701"/>
    <w:uiPriority w:val="9"/>
    <w:pPr>
      <w:pBdr/>
      <w:spacing/>
      <w:ind/>
    </w:pPr>
    <w:rPr>
      <w:rFonts w:ascii="Arial" w:hAnsi="Arial" w:eastAsia="Arial" w:cs="Arial"/>
      <w:b/>
      <w:bCs/>
      <w:i/>
      <w:iCs/>
      <w:sz w:val="22"/>
      <w:szCs w:val="22"/>
    </w:rPr>
  </w:style>
  <w:style w:type="character" w:styleId="711" w:customStyle="1">
    <w:name w:val="Heading 8 Char"/>
    <w:basedOn w:val="701"/>
    <w:uiPriority w:val="9"/>
    <w:pPr>
      <w:pBdr/>
      <w:spacing/>
      <w:ind/>
    </w:pPr>
    <w:rPr>
      <w:rFonts w:ascii="Arial" w:hAnsi="Arial" w:eastAsia="Arial" w:cs="Arial"/>
      <w:i/>
      <w:iCs/>
      <w:sz w:val="22"/>
      <w:szCs w:val="22"/>
    </w:rPr>
  </w:style>
  <w:style w:type="character" w:styleId="712" w:customStyle="1">
    <w:name w:val="Heading 9 Char"/>
    <w:basedOn w:val="701"/>
    <w:uiPriority w:val="9"/>
    <w:pPr>
      <w:pBdr/>
      <w:spacing/>
      <w:ind/>
    </w:pPr>
    <w:rPr>
      <w:rFonts w:ascii="Arial" w:hAnsi="Arial" w:eastAsia="Arial" w:cs="Arial"/>
      <w:i/>
      <w:iCs/>
      <w:sz w:val="21"/>
      <w:szCs w:val="21"/>
    </w:rPr>
  </w:style>
  <w:style w:type="character" w:styleId="713" w:customStyle="1">
    <w:name w:val="Title Char"/>
    <w:basedOn w:val="701"/>
    <w:uiPriority w:val="10"/>
    <w:pPr>
      <w:pBdr/>
      <w:spacing/>
      <w:ind/>
    </w:pPr>
    <w:rPr>
      <w:sz w:val="48"/>
      <w:szCs w:val="48"/>
    </w:rPr>
  </w:style>
  <w:style w:type="character" w:styleId="714" w:customStyle="1">
    <w:name w:val="Subtitle Char"/>
    <w:basedOn w:val="701"/>
    <w:uiPriority w:val="11"/>
    <w:pPr>
      <w:pBdr/>
      <w:spacing/>
      <w:ind/>
    </w:pPr>
    <w:rPr>
      <w:sz w:val="24"/>
      <w:szCs w:val="24"/>
    </w:rPr>
  </w:style>
  <w:style w:type="character" w:styleId="715" w:customStyle="1">
    <w:name w:val="Quote Char"/>
    <w:uiPriority w:val="29"/>
    <w:pPr>
      <w:pBdr/>
      <w:spacing/>
      <w:ind/>
    </w:pPr>
    <w:rPr>
      <w:i/>
    </w:rPr>
  </w:style>
  <w:style w:type="character" w:styleId="716" w:customStyle="1">
    <w:name w:val="Intense Quote Char"/>
    <w:uiPriority w:val="30"/>
    <w:pPr>
      <w:pBdr/>
      <w:spacing/>
      <w:ind/>
    </w:pPr>
    <w:rPr>
      <w:i/>
    </w:rPr>
  </w:style>
  <w:style w:type="character" w:styleId="717" w:customStyle="1">
    <w:name w:val="Footnote Text Char"/>
    <w:uiPriority w:val="99"/>
    <w:pPr>
      <w:pBdr/>
      <w:spacing/>
      <w:ind/>
    </w:pPr>
    <w:rPr>
      <w:sz w:val="18"/>
    </w:rPr>
  </w:style>
  <w:style w:type="character" w:styleId="718" w:customStyle="1">
    <w:name w:val="Endnote Text Char"/>
    <w:uiPriority w:val="99"/>
    <w:pPr>
      <w:pBdr/>
      <w:spacing/>
      <w:ind/>
    </w:pPr>
    <w:rPr>
      <w:sz w:val="20"/>
    </w:rPr>
  </w:style>
  <w:style w:type="character" w:styleId="719" w:customStyle="1">
    <w:name w:val="Nadpis 1 Char"/>
    <w:basedOn w:val="701"/>
    <w:link w:val="692"/>
    <w:uiPriority w:val="9"/>
    <w:pPr>
      <w:pBdr/>
      <w:spacing/>
      <w:ind/>
    </w:pPr>
    <w:rPr>
      <w:rFonts w:ascii="Arial" w:hAnsi="Arial" w:eastAsia="Arial" w:cs="Arial"/>
      <w:sz w:val="40"/>
      <w:szCs w:val="40"/>
    </w:rPr>
  </w:style>
  <w:style w:type="character" w:styleId="720" w:customStyle="1">
    <w:name w:val="Nadpis 2 Char"/>
    <w:basedOn w:val="701"/>
    <w:link w:val="693"/>
    <w:uiPriority w:val="9"/>
    <w:pPr>
      <w:pBdr/>
      <w:spacing/>
      <w:ind/>
    </w:pPr>
    <w:rPr>
      <w:rFonts w:ascii="Arial" w:hAnsi="Arial" w:eastAsia="Arial" w:cs="Arial"/>
      <w:sz w:val="34"/>
    </w:rPr>
  </w:style>
  <w:style w:type="character" w:styleId="721" w:customStyle="1">
    <w:name w:val="Nadpis 3 Char"/>
    <w:basedOn w:val="701"/>
    <w:link w:val="694"/>
    <w:uiPriority w:val="9"/>
    <w:pPr>
      <w:pBdr/>
      <w:spacing/>
      <w:ind/>
    </w:pPr>
    <w:rPr>
      <w:rFonts w:ascii="Arial" w:hAnsi="Arial" w:eastAsia="Arial" w:cs="Arial"/>
      <w:sz w:val="30"/>
      <w:szCs w:val="30"/>
    </w:rPr>
  </w:style>
  <w:style w:type="character" w:styleId="722" w:customStyle="1">
    <w:name w:val="Nadpis 4 Char"/>
    <w:basedOn w:val="701"/>
    <w:link w:val="695"/>
    <w:uiPriority w:val="9"/>
    <w:pPr>
      <w:pBdr/>
      <w:spacing/>
      <w:ind/>
    </w:pPr>
    <w:rPr>
      <w:rFonts w:ascii="Arial" w:hAnsi="Arial" w:eastAsia="Arial" w:cs="Arial"/>
      <w:b/>
      <w:bCs/>
      <w:sz w:val="26"/>
      <w:szCs w:val="26"/>
    </w:rPr>
  </w:style>
  <w:style w:type="character" w:styleId="723" w:customStyle="1">
    <w:name w:val="Nadpis 5 Char"/>
    <w:basedOn w:val="701"/>
    <w:link w:val="696"/>
    <w:uiPriority w:val="9"/>
    <w:pPr>
      <w:pBdr/>
      <w:spacing/>
      <w:ind/>
    </w:pPr>
    <w:rPr>
      <w:rFonts w:ascii="Arial" w:hAnsi="Arial" w:eastAsia="Arial" w:cs="Arial"/>
      <w:b/>
      <w:bCs/>
      <w:sz w:val="24"/>
      <w:szCs w:val="24"/>
    </w:rPr>
  </w:style>
  <w:style w:type="character" w:styleId="724" w:customStyle="1">
    <w:name w:val="Nadpis 6 Char"/>
    <w:basedOn w:val="701"/>
    <w:link w:val="697"/>
    <w:uiPriority w:val="9"/>
    <w:pPr>
      <w:pBdr/>
      <w:spacing/>
      <w:ind/>
    </w:pPr>
    <w:rPr>
      <w:rFonts w:ascii="Arial" w:hAnsi="Arial" w:eastAsia="Arial" w:cs="Arial"/>
      <w:b/>
      <w:bCs/>
      <w:sz w:val="22"/>
      <w:szCs w:val="22"/>
    </w:rPr>
  </w:style>
  <w:style w:type="character" w:styleId="725" w:customStyle="1">
    <w:name w:val="Nadpis 7 Char"/>
    <w:basedOn w:val="701"/>
    <w:link w:val="698"/>
    <w:uiPriority w:val="9"/>
    <w:pPr>
      <w:pBdr/>
      <w:spacing/>
      <w:ind/>
    </w:pPr>
    <w:rPr>
      <w:rFonts w:ascii="Arial" w:hAnsi="Arial" w:eastAsia="Arial" w:cs="Arial"/>
      <w:b/>
      <w:bCs/>
      <w:i/>
      <w:iCs/>
      <w:sz w:val="22"/>
      <w:szCs w:val="22"/>
    </w:rPr>
  </w:style>
  <w:style w:type="character" w:styleId="726" w:customStyle="1">
    <w:name w:val="Nadpis 8 Char"/>
    <w:basedOn w:val="701"/>
    <w:link w:val="699"/>
    <w:uiPriority w:val="9"/>
    <w:pPr>
      <w:pBdr/>
      <w:spacing/>
      <w:ind/>
    </w:pPr>
    <w:rPr>
      <w:rFonts w:ascii="Arial" w:hAnsi="Arial" w:eastAsia="Arial" w:cs="Arial"/>
      <w:i/>
      <w:iCs/>
      <w:sz w:val="22"/>
      <w:szCs w:val="22"/>
    </w:rPr>
  </w:style>
  <w:style w:type="character" w:styleId="727" w:customStyle="1">
    <w:name w:val="Nadpis 9 Char"/>
    <w:basedOn w:val="701"/>
    <w:link w:val="700"/>
    <w:uiPriority w:val="9"/>
    <w:pPr>
      <w:pBdr/>
      <w:spacing/>
      <w:ind/>
    </w:pPr>
    <w:rPr>
      <w:rFonts w:ascii="Arial" w:hAnsi="Arial" w:eastAsia="Arial" w:cs="Arial"/>
      <w:i/>
      <w:iCs/>
      <w:sz w:val="21"/>
      <w:szCs w:val="21"/>
    </w:rPr>
  </w:style>
  <w:style w:type="paragraph" w:styleId="728">
    <w:name w:val="No Spacing"/>
    <w:uiPriority w:val="1"/>
    <w:qFormat/>
    <w:pPr>
      <w:pBdr/>
      <w:spacing w:after="0" w:line="240" w:lineRule="auto"/>
      <w:ind/>
    </w:pPr>
  </w:style>
  <w:style w:type="paragraph" w:styleId="729">
    <w:name w:val="Title"/>
    <w:basedOn w:val="691"/>
    <w:next w:val="691"/>
    <w:link w:val="730"/>
    <w:uiPriority w:val="10"/>
    <w:qFormat/>
    <w:pPr>
      <w:pBdr/>
      <w:spacing w:after="200" w:before="300"/>
      <w:ind/>
      <w:contextualSpacing w:val="true"/>
    </w:pPr>
    <w:rPr>
      <w:sz w:val="48"/>
      <w:szCs w:val="48"/>
    </w:rPr>
  </w:style>
  <w:style w:type="character" w:styleId="730" w:customStyle="1">
    <w:name w:val="Název Char"/>
    <w:basedOn w:val="701"/>
    <w:link w:val="729"/>
    <w:uiPriority w:val="10"/>
    <w:pPr>
      <w:pBdr/>
      <w:spacing/>
      <w:ind/>
    </w:pPr>
    <w:rPr>
      <w:sz w:val="48"/>
      <w:szCs w:val="48"/>
    </w:rPr>
  </w:style>
  <w:style w:type="paragraph" w:styleId="731">
    <w:name w:val="Subtitle"/>
    <w:basedOn w:val="691"/>
    <w:next w:val="691"/>
    <w:link w:val="732"/>
    <w:uiPriority w:val="11"/>
    <w:qFormat/>
    <w:pPr>
      <w:pBdr/>
      <w:spacing w:after="200" w:before="200"/>
      <w:ind/>
    </w:pPr>
    <w:rPr>
      <w:sz w:val="24"/>
      <w:szCs w:val="24"/>
    </w:rPr>
  </w:style>
  <w:style w:type="character" w:styleId="732" w:customStyle="1">
    <w:name w:val="Podnadpis Char"/>
    <w:basedOn w:val="701"/>
    <w:link w:val="731"/>
    <w:uiPriority w:val="11"/>
    <w:pPr>
      <w:pBdr/>
      <w:spacing/>
      <w:ind/>
    </w:pPr>
    <w:rPr>
      <w:sz w:val="24"/>
      <w:szCs w:val="24"/>
    </w:rPr>
  </w:style>
  <w:style w:type="paragraph" w:styleId="733">
    <w:name w:val="Quote"/>
    <w:basedOn w:val="691"/>
    <w:next w:val="691"/>
    <w:link w:val="734"/>
    <w:uiPriority w:val="29"/>
    <w:qFormat/>
    <w:pPr>
      <w:pBdr/>
      <w:spacing/>
      <w:ind w:right="720" w:left="720"/>
    </w:pPr>
    <w:rPr>
      <w:i/>
    </w:rPr>
  </w:style>
  <w:style w:type="character" w:styleId="734" w:customStyle="1">
    <w:name w:val="Citát Char"/>
    <w:link w:val="733"/>
    <w:uiPriority w:val="29"/>
    <w:pPr>
      <w:pBdr/>
      <w:spacing/>
      <w:ind/>
    </w:pPr>
    <w:rPr>
      <w:i/>
    </w:rPr>
  </w:style>
  <w:style w:type="paragraph" w:styleId="735">
    <w:name w:val="Intense Quote"/>
    <w:basedOn w:val="691"/>
    <w:next w:val="691"/>
    <w:link w:val="736"/>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736" w:customStyle="1">
    <w:name w:val="Výrazný citát Char"/>
    <w:link w:val="735"/>
    <w:uiPriority w:val="30"/>
    <w:pPr>
      <w:pBdr/>
      <w:spacing/>
      <w:ind/>
    </w:pPr>
    <w:rPr>
      <w:i/>
    </w:rPr>
  </w:style>
  <w:style w:type="character" w:styleId="737" w:customStyle="1">
    <w:name w:val="Header Char"/>
    <w:basedOn w:val="701"/>
    <w:uiPriority w:val="99"/>
    <w:pPr>
      <w:pBdr/>
      <w:spacing/>
      <w:ind/>
    </w:pPr>
  </w:style>
  <w:style w:type="character" w:styleId="738" w:customStyle="1">
    <w:name w:val="Footer Char"/>
    <w:basedOn w:val="701"/>
    <w:uiPriority w:val="99"/>
    <w:pPr>
      <w:pBdr/>
      <w:spacing/>
      <w:ind/>
    </w:pPr>
  </w:style>
  <w:style w:type="paragraph" w:styleId="739">
    <w:name w:val="Caption"/>
    <w:basedOn w:val="691"/>
    <w:next w:val="691"/>
    <w:uiPriority w:val="35"/>
    <w:semiHidden/>
    <w:unhideWhenUsed/>
    <w:qFormat/>
    <w:pPr>
      <w:pBdr/>
      <w:spacing w:line="276" w:lineRule="auto"/>
      <w:ind/>
    </w:pPr>
    <w:rPr>
      <w:b/>
      <w:bCs/>
      <w:color w:val="4472c4" w:themeColor="accent1"/>
      <w:sz w:val="18"/>
      <w:szCs w:val="18"/>
    </w:rPr>
  </w:style>
  <w:style w:type="character" w:styleId="740" w:customStyle="1">
    <w:name w:val="Caption Char"/>
    <w:uiPriority w:val="99"/>
    <w:pPr>
      <w:pBdr/>
      <w:spacing/>
      <w:ind/>
    </w:pPr>
  </w:style>
  <w:style w:type="table" w:styleId="741" w:customStyle="1">
    <w:name w:val="Table Grid Light"/>
    <w:basedOn w:val="70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Plain Table 1"/>
    <w:basedOn w:val="702"/>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Plain Table 2"/>
    <w:basedOn w:val="702"/>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Plain Table 3"/>
    <w:basedOn w:val="70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Plain Table 4"/>
    <w:basedOn w:val="70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Plain Table 5"/>
    <w:basedOn w:val="702"/>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1 Light"/>
    <w:basedOn w:val="702"/>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customStyle="1">
    <w:name w:val="Grid Table 1 Light - Accent 1"/>
    <w:basedOn w:val="702"/>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customStyle="1">
    <w:name w:val="Grid Table 1 Light - Accent 2"/>
    <w:basedOn w:val="70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customStyle="1">
    <w:name w:val="Grid Table 1 Light - Accent 3"/>
    <w:basedOn w:val="70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customStyle="1">
    <w:name w:val="Grid Table 1 Light - Accent 4"/>
    <w:basedOn w:val="70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customStyle="1">
    <w:name w:val="Grid Table 1 Light - Accent 5"/>
    <w:basedOn w:val="702"/>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customStyle="1">
    <w:name w:val="Grid Table 1 Light - Accent 6"/>
    <w:basedOn w:val="70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2"/>
    <w:basedOn w:val="70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customStyle="1">
    <w:name w:val="Grid Table 2 - Accent 1"/>
    <w:basedOn w:val="702"/>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37dc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37dc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customStyle="1">
    <w:name w:val="Grid Table 2 - Accent 2"/>
    <w:basedOn w:val="70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customStyle="1">
    <w:name w:val="Grid Table 2 - Accent 3"/>
    <w:basedOn w:val="70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customStyle="1">
    <w:name w:val="Grid Table 2 - Accent 4"/>
    <w:basedOn w:val="70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customStyle="1">
    <w:name w:val="Grid Table 2 - Accent 5"/>
    <w:basedOn w:val="702"/>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b9bd5"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customStyle="1">
    <w:name w:val="Grid Table 2 - Accent 6"/>
    <w:basedOn w:val="70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Grid Table 3"/>
    <w:basedOn w:val="702"/>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customStyle="1">
    <w:name w:val="Grid Table 3 - Accent 1"/>
    <w:basedOn w:val="702"/>
    <w:uiPriority w:val="99"/>
    <w:pPr>
      <w:pBdr/>
      <w:spacing w:after="0" w:line="240" w:lineRule="auto"/>
      <w:ind/>
    </w:p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cPr>
      <w:tcBorders/>
    </w:tcPr>
    <w:tblStylePr w:type="band1Horz">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1Vert">
      <w:rPr>
        <w:rFonts w:ascii="Arial" w:hAnsi="Arial"/>
        <w:color w:val="404040"/>
        <w:sz w:val="22"/>
      </w:rPr>
      <w:pPr>
        <w:pBdr/>
        <w:spacing/>
        <w:ind/>
      </w:pPr>
      <w:tblPr>
        <w:tblBorders/>
      </w:tblPr>
      <w:tcPr>
        <w:shd w:val="clear" w:color="d8e2f3" w:themeColor="accent1" w:themeTint="34" w:fill="d8e2f3"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customStyle="1">
    <w:name w:val="Grid Table 3 - Accent 2"/>
    <w:basedOn w:val="702"/>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customStyle="1">
    <w:name w:val="Grid Table 3 - Accent 3"/>
    <w:basedOn w:val="702"/>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customStyle="1">
    <w:name w:val="Grid Table 3 - Accent 4"/>
    <w:basedOn w:val="702"/>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customStyle="1">
    <w:name w:val="Grid Table 3 - Accent 5"/>
    <w:basedOn w:val="702"/>
    <w:uiPriority w:val="99"/>
    <w:pPr>
      <w:pBdr/>
      <w:spacing w:after="0" w:line="240" w:lineRule="auto"/>
      <w:ind/>
    </w:p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customStyle="1">
    <w:name w:val="Grid Table 3 - Accent 6"/>
    <w:basedOn w:val="702"/>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Grid Table 4"/>
    <w:basedOn w:val="702"/>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customStyle="1">
    <w:name w:val="Grid Table 4 - Accent 1"/>
    <w:basedOn w:val="702"/>
    <w:uiPriority w:val="5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dae3f3"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37dc8" w:themeColor="accent1" w:themeTint="EA" w:fill="537dc8" w:themeFill="accent1" w:themeFillTint="EA"/>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37dc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customStyle="1">
    <w:name w:val="Grid Table 4 - Accent 2"/>
    <w:basedOn w:val="702"/>
    <w:uiPriority w:val="5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customStyle="1">
    <w:name w:val="Grid Table 4 - Accent 3"/>
    <w:basedOn w:val="702"/>
    <w:uiPriority w:val="5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customStyle="1">
    <w:name w:val="Grid Table 4 - Accent 4"/>
    <w:basedOn w:val="702"/>
    <w:uiPriority w:val="5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customStyle="1">
    <w:name w:val="Grid Table 4 - Accent 5"/>
    <w:basedOn w:val="702"/>
    <w:uiPriority w:val="5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1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customStyle="1">
    <w:name w:val="Grid Table 4 - Accent 6"/>
    <w:basedOn w:val="702"/>
    <w:uiPriority w:val="5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Grid Table 5 Dark"/>
    <w:basedOn w:val="70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customStyle="1">
    <w:name w:val="Grid Table 5 Dark- Accent 1"/>
    <w:basedOn w:val="70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1" w:themeTint="34" w:fill="d8e2f3" w:themeFill="accent1" w:themeFillTint="34"/>
    </w:tblPr>
    <w:tcPr>
      <w:tcBorders/>
    </w:tcPr>
    <w:tblStylePr w:type="band1Horz">
      <w:pPr>
        <w:pBdr/>
        <w:spacing/>
        <w:ind/>
      </w:pPr>
      <w:tblPr>
        <w:tblBorders/>
      </w:tblPr>
      <w:tcPr>
        <w:shd w:val="clear" w:color="a9bee4" w:themeColor="accent1" w:themeTint="75" w:fill="a9bee4" w:themeFill="accent1" w:themeFillTint="75"/>
        <w:tcBorders/>
      </w:tcPr>
    </w:tblStylePr>
    <w:tblStylePr w:type="band1Vert">
      <w:pPr>
        <w:pBdr/>
        <w:spacing/>
        <w:ind/>
      </w:pPr>
      <w:tblPr>
        <w:tblBorders/>
      </w:tblPr>
      <w:tcPr>
        <w:shd w:val="clear" w:color="a9bee4" w:themeColor="accent1" w:themeTint="75" w:fill="a9bee4"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1" w:fill="4472c4" w:themeFill="accent1"/>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rFonts w:ascii="Arial" w:hAnsi="Arial"/>
        <w:b/>
        <w:color w:val="ffffff"/>
        <w:sz w:val="22"/>
      </w:rPr>
      <w:pPr>
        <w:pBdr/>
        <w:spacing/>
        <w:ind/>
      </w:pPr>
      <w:tblPr>
        <w:tblBorders/>
      </w:tblPr>
      <w:tcPr>
        <w:shd w:val="clear" w:color="4472c4" w:themeColor="accent1" w:fill="4472c4" w:themeFill="accent1"/>
        <w:tcBorders/>
      </w:tcPr>
    </w:tblStylePr>
    <w:tblStylePr w:type="lastRow">
      <w:rPr>
        <w:rFonts w:ascii="Arial" w:hAnsi="Arial"/>
        <w:b/>
        <w:color w:val="ffffff"/>
        <w:sz w:val="22"/>
      </w:rPr>
      <w:pPr>
        <w:pBdr/>
        <w:spacing/>
        <w:ind/>
      </w:pPr>
      <w:tblPr>
        <w:tblBorders/>
      </w:tblPr>
      <w:tcPr>
        <w:shd w:val="clear" w:color="4472c4" w:themeColor="accent1" w:fill="4472c4"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customStyle="1">
    <w:name w:val="Grid Table 5 Dark - Accent 2"/>
    <w:basedOn w:val="70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customStyle="1">
    <w:name w:val="Grid Table 5 Dark - Accent 3"/>
    <w:basedOn w:val="70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customStyle="1">
    <w:name w:val="Grid Table 5 Dark- Accent 4"/>
    <w:basedOn w:val="70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customStyle="1">
    <w:name w:val="Grid Table 5 Dark - Accent 5"/>
    <w:basedOn w:val="70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5" w:themeTint="34" w:fill="ddeaf6" w:themeFill="accent5" w:themeFillTint="34"/>
    </w:tblPr>
    <w:tcPr>
      <w:tcBorders/>
    </w:tcPr>
    <w:tblStylePr w:type="band1Horz">
      <w:pPr>
        <w:pBdr/>
        <w:spacing/>
        <w:ind/>
      </w:pPr>
      <w:tblPr>
        <w:tblBorders/>
      </w:tblPr>
      <w:tcPr>
        <w:shd w:val="clear" w:color="b3d0eb" w:themeColor="accent5" w:themeTint="75" w:fill="b3d0eb" w:themeFill="accent5" w:themeFillTint="75"/>
        <w:tcBorders/>
      </w:tcPr>
    </w:tblStylePr>
    <w:tblStylePr w:type="band1Vert">
      <w:pPr>
        <w:pBdr/>
        <w:spacing/>
        <w:ind/>
      </w:pPr>
      <w:tblPr>
        <w:tblBorders/>
      </w:tblPr>
      <w:tcPr>
        <w:shd w:val="clear" w:color="b3d0eb" w:themeColor="accent5" w:themeTint="75" w:fill="b3d0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5" w:fill="5b9bd5" w:themeFill="accent5"/>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rFonts w:ascii="Arial" w:hAnsi="Arial"/>
        <w:b/>
        <w:color w:val="ffffff"/>
        <w:sz w:val="22"/>
      </w:rPr>
      <w:pPr>
        <w:pBdr/>
        <w:spacing/>
        <w:ind/>
      </w:pPr>
      <w:tblPr>
        <w:tblBorders/>
      </w:tblPr>
      <w:tcPr>
        <w:shd w:val="clear" w:color="5b9bd5" w:themeColor="accent5" w:fill="5b9bd5" w:themeFill="accent5"/>
        <w:tcBorders/>
      </w:tcPr>
    </w:tblStylePr>
    <w:tblStylePr w:type="lastRow">
      <w:rPr>
        <w:rFonts w:ascii="Arial" w:hAnsi="Arial"/>
        <w:b/>
        <w:color w:val="ffffff"/>
        <w:sz w:val="22"/>
      </w:rPr>
      <w:pPr>
        <w:pBdr/>
        <w:spacing/>
        <w:ind/>
      </w:pPr>
      <w:tblPr>
        <w:tblBorders/>
      </w:tblPr>
      <w:tcPr>
        <w:shd w:val="clear" w:color="5b9bd5" w:themeColor="accent5" w:fill="5b9bd5"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customStyle="1">
    <w:name w:val="Grid Table 5 Dark - Accent 6"/>
    <w:basedOn w:val="702"/>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Grid Table 6 Colorful"/>
    <w:basedOn w:val="702"/>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customStyle="1">
    <w:name w:val="Grid Table 6 Colorful - Accent 1"/>
    <w:basedOn w:val="702"/>
    <w:uiPriority w:val="99"/>
    <w:pPr>
      <w:pBdr/>
      <w:spacing w:after="0" w:line="240" w:lineRule="auto"/>
      <w:ind/>
    </w:p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0b7e1" w:themeColor="accent1" w:themeTint="80" w:themeShade="95"/>
      </w:rPr>
      <w:pPr>
        <w:pBdr/>
        <w:spacing/>
        <w:ind/>
      </w:pPr>
      <w:tblPr>
        <w:tblBorders/>
      </w:tblPr>
      <w:tcPr>
        <w:tcBorders/>
      </w:tcPr>
    </w:tblStylePr>
    <w:tblStylePr w:type="firstRow">
      <w:rPr>
        <w:b/>
        <w:color w:val="a0b7e1" w:themeColor="accent1" w:themeTint="80" w:themeShade="95"/>
      </w:rPr>
      <w:pPr>
        <w:pBdr/>
        <w:spacing/>
        <w:ind/>
      </w:pPr>
      <w:tblPr>
        <w:tblBorders/>
      </w:tblPr>
      <w:tcPr>
        <w:tcBorders>
          <w:bottom w:val="single" w:color="a0b7e1" w:themeColor="accent1" w:themeTint="80" w:sz="12" w:space="0"/>
        </w:tcBorders>
      </w:tcPr>
    </w:tblStylePr>
    <w:tblStylePr w:type="lastCol">
      <w:rPr>
        <w:b/>
        <w:color w:val="a0b7e1" w:themeColor="accent1" w:themeTint="80" w:themeShade="95"/>
      </w:rPr>
      <w:pPr>
        <w:pBdr/>
        <w:spacing/>
        <w:ind/>
      </w:pPr>
      <w:tblPr>
        <w:tblBorders/>
      </w:tblPr>
      <w:tcPr>
        <w:tcBorders/>
      </w:tcPr>
    </w:tblStylePr>
    <w:tblStylePr w:type="lastRow">
      <w:rPr>
        <w:b/>
        <w:color w:val="a0b7e1"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customStyle="1">
    <w:name w:val="Grid Table 6 Colorful - Accent 2"/>
    <w:basedOn w:val="70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customStyle="1">
    <w:name w:val="Grid Table 6 Colorful - Accent 3"/>
    <w:basedOn w:val="702"/>
    <w:uiPriority w:val="99"/>
    <w:pPr>
      <w:pBdr/>
      <w:spacing w:after="0" w:line="240" w:lineRule="auto"/>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customStyle="1">
    <w:name w:val="Grid Table 6 Colorful - Accent 4"/>
    <w:basedOn w:val="70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customStyle="1">
    <w:name w:val="Grid Table 6 Colorful - Accent 5"/>
    <w:basedOn w:val="702"/>
    <w:uiPriority w:val="99"/>
    <w:pPr>
      <w:pBdr/>
      <w:spacing w:after="0" w:line="240" w:lineRule="auto"/>
      <w:ind/>
    </w:p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5b9bd5" w:themeColor="accent5"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customStyle="1">
    <w:name w:val="Grid Table 6 Colorful - Accent 6"/>
    <w:basedOn w:val="702"/>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45a8d"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5" w:themeShade="95"/>
      </w:rPr>
      <w:pPr>
        <w:pBdr/>
        <w:spacing/>
        <w:ind/>
      </w:pPr>
      <w:tblPr>
        <w:tblBorders/>
      </w:tblPr>
      <w:tcPr>
        <w:tcBorders/>
      </w:tcPr>
    </w:tblStylePr>
    <w:tblStylePr w:type="firstRow">
      <w:rPr>
        <w:b/>
        <w:color w:val="245a8d" w:themeColor="accent5" w:themeShade="95"/>
      </w:rPr>
      <w:pPr>
        <w:pBdr/>
        <w:spacing/>
        <w:ind/>
      </w:pPr>
      <w:tblPr>
        <w:tblBorders/>
      </w:tblPr>
      <w:tcPr>
        <w:tcBorders>
          <w:bottom w:val="single" w:color="70ad47" w:themeColor="accent6" w:sz="12" w:space="0"/>
        </w:tcBorders>
      </w:tcPr>
    </w:tblStylePr>
    <w:tblStylePr w:type="lastCol">
      <w:rPr>
        <w:b/>
        <w:color w:val="245a8d" w:themeColor="accent5" w:themeShade="95"/>
      </w:rPr>
      <w:pPr>
        <w:pBdr/>
        <w:spacing/>
        <w:ind/>
      </w:pPr>
      <w:tblPr>
        <w:tblBorders/>
      </w:tblPr>
      <w:tcPr>
        <w:tcBorders/>
      </w:tcPr>
    </w:tblStylePr>
    <w:tblStylePr w:type="lastRow">
      <w:rPr>
        <w:b/>
        <w:color w:val="245a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Grid Table 7 Colorful"/>
    <w:basedOn w:val="702"/>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customStyle="1">
    <w:name w:val="Grid Table 7 Colorful - Accent 1"/>
    <w:basedOn w:val="702"/>
    <w:uiPriority w:val="99"/>
    <w:pPr>
      <w:pBdr/>
      <w:spacing w:after="0" w:line="240" w:lineRule="auto"/>
      <w:ind/>
    </w:p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cPr>
      <w:tcBorders/>
    </w:tcPr>
    <w:tblStylePr w:type="band1Horz">
      <w:rPr>
        <w:rFonts w:ascii="Arial" w:hAnsi="Arial"/>
        <w:color w:val="a0b7e1" w:themeColor="accent1" w:themeTint="80" w:themeShade="95"/>
        <w:sz w:val="22"/>
      </w:rPr>
      <w:pPr>
        <w:pBdr/>
        <w:spacing/>
        <w:ind/>
      </w:pPr>
      <w:tblPr>
        <w:tblBorders/>
      </w:tblPr>
      <w:tcPr>
        <w:shd w:val="clear" w:color="d8e2f3" w:themeColor="accent1" w:themeTint="34" w:fill="d8e2f3" w:themeFill="accent1" w:themeFillTint="34"/>
        <w:tcBorders/>
      </w:tcPr>
    </w:tblStylePr>
    <w:tblStylePr w:type="band1Vert">
      <w:pPr>
        <w:pBdr/>
        <w:spacing/>
        <w:ind/>
      </w:pPr>
      <w:tblPr>
        <w:tblBorders/>
      </w:tblPr>
      <w:tcPr>
        <w:shd w:val="clear" w:color="d8e2f3" w:themeColor="accent1" w:themeTint="34" w:fill="d8e2f3" w:themeFill="accent1" w:themeFillTint="34"/>
        <w:tcBorders/>
      </w:tcPr>
    </w:tblStylePr>
    <w:tblStylePr w:type="band2Horz">
      <w:rPr>
        <w:rFonts w:ascii="Arial" w:hAnsi="Arial"/>
        <w:color w:val="a0b7e1"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0b7e1"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0b7e1" w:themeColor="accent1" w:themeTint="80" w:sz="4" w:space="0"/>
        </w:tcBorders>
      </w:tcPr>
    </w:tblStylePr>
    <w:tblStylePr w:type="fir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0b7e1" w:themeColor="accent1" w:themeTint="80" w:sz="4" w:space="0"/>
          <w:right w:val="none" w:color="000000" w:sz="4" w:space="0"/>
        </w:tcBorders>
      </w:tcPr>
    </w:tblStylePr>
    <w:tblStylePr w:type="lastCol">
      <w:rPr>
        <w:rFonts w:ascii="Arial" w:hAnsi="Arial"/>
        <w:i/>
        <w:color w:val="a0b7e1" w:themeColor="accent1" w:themeTint="80" w:themeShade="95"/>
        <w:sz w:val="22"/>
      </w:rPr>
      <w:pPr>
        <w:pBdr/>
        <w:spacing/>
        <w:ind/>
      </w:pPr>
      <w:tblPr>
        <w:tblBorders/>
      </w:tblPr>
      <w:tcPr>
        <w:shd w:val="clear" w:color="ffffff" w:fill="auto"/>
        <w:tcBorders>
          <w:top w:val="none" w:color="000000" w:sz="4" w:space="0"/>
          <w:left w:val="single" w:color="a0b7e1" w:themeColor="accent1" w:themeTint="80" w:sz="4" w:space="0"/>
          <w:bottom w:val="none" w:color="000000" w:sz="4" w:space="0"/>
          <w:right w:val="none" w:color="000000" w:sz="4" w:space="0"/>
        </w:tcBorders>
      </w:tcPr>
    </w:tblStylePr>
    <w:tblStylePr w:type="lastRow">
      <w:rPr>
        <w:rFonts w:ascii="Arial" w:hAnsi="Arial"/>
        <w:b/>
        <w:color w:val="a0b7e1" w:themeColor="accent1" w:themeTint="80" w:themeShade="95"/>
        <w:sz w:val="22"/>
      </w:rPr>
      <w:pPr>
        <w:pBdr/>
        <w:spacing/>
        <w:ind/>
      </w:pPr>
      <w:tblPr>
        <w:tblBorders/>
      </w:tblPr>
      <w:tcPr>
        <w:shd w:val="clear" w:color="ffffff" w:themeColor="light1" w:fill="ffffff" w:themeFill="light1"/>
        <w:tcBorders>
          <w:top w:val="single" w:color="a0b7e1"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customStyle="1">
    <w:name w:val="Grid Table 7 Colorful - Accent 2"/>
    <w:basedOn w:val="702"/>
    <w:uiPriority w:val="99"/>
    <w:pPr>
      <w:pBdr/>
      <w:spacing w:after="0" w:line="240" w:lineRule="auto"/>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customStyle="1">
    <w:name w:val="Grid Table 7 Colorful - Accent 3"/>
    <w:basedOn w:val="702"/>
    <w:uiPriority w:val="99"/>
    <w:pPr>
      <w:pBdr/>
      <w:spacing w:after="0" w:line="240" w:lineRule="auto"/>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customStyle="1">
    <w:name w:val="Grid Table 7 Colorful - Accent 4"/>
    <w:basedOn w:val="702"/>
    <w:uiPriority w:val="99"/>
    <w:pPr>
      <w:pBdr/>
      <w:spacing w:after="0" w:line="240" w:lineRule="auto"/>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customStyle="1">
    <w:name w:val="Grid Table 7 Colorful - Accent 5"/>
    <w:basedOn w:val="702"/>
    <w:uiPriority w:val="99"/>
    <w:pPr>
      <w:pBdr/>
      <w:spacing w:after="0" w:line="240" w:lineRule="auto"/>
      <w:ind/>
    </w:p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cPr>
      <w:tcBorders/>
    </w:tcPr>
    <w:tblStylePr w:type="band1Horz">
      <w:rPr>
        <w:rFonts w:ascii="Arial" w:hAnsi="Arial"/>
        <w:color w:val="245a8d" w:themeColor="accent5" w:themeShade="95"/>
        <w:sz w:val="22"/>
      </w:rPr>
      <w:pPr>
        <w:pBdr/>
        <w:spacing/>
        <w:ind/>
      </w:pPr>
      <w:tblPr>
        <w:tblBorders/>
      </w:tblPr>
      <w:tcPr>
        <w:shd w:val="clear" w:color="ddeaf6" w:themeColor="accent5" w:themeTint="34" w:fill="ddeaf6" w:themeFill="accent5" w:themeFillTint="34"/>
        <w:tcBorders/>
      </w:tcPr>
    </w:tblStylePr>
    <w:tblStylePr w:type="band1Vert">
      <w:pPr>
        <w:pBdr/>
        <w:spacing/>
        <w:ind/>
      </w:pPr>
      <w:tblPr>
        <w:tblBorders/>
      </w:tblPr>
      <w:tcPr>
        <w:shd w:val="clear" w:color="ddeaf6" w:themeColor="accent5" w:themeTint="34" w:fill="ddeaf6" w:themeFill="accent5" w:themeFillTint="34"/>
        <w:tcBorders/>
      </w:tcPr>
    </w:tblStylePr>
    <w:tblStylePr w:type="band2Horz">
      <w:rPr>
        <w:rFonts w:ascii="Arial" w:hAnsi="Arial"/>
        <w:color w:val="245a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2c6e7" w:themeColor="accent5" w:themeTint="90" w:sz="4" w:space="0"/>
        </w:tcBorders>
      </w:tcPr>
    </w:tblStylePr>
    <w:tblStylePr w:type="firstRow">
      <w:rPr>
        <w:rFonts w:ascii="Arial" w:hAnsi="Arial"/>
        <w:b/>
        <w:color w:val="245a8d"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2c6e7" w:themeColor="accent5" w:themeTint="90" w:sz="4" w:space="0"/>
          <w:right w:val="none" w:color="000000" w:sz="4" w:space="0"/>
        </w:tcBorders>
      </w:tcPr>
    </w:tblStylePr>
    <w:tblStylePr w:type="lastCol">
      <w:rPr>
        <w:rFonts w:ascii="Arial" w:hAnsi="Arial"/>
        <w:i/>
        <w:color w:val="245a8d" w:themeColor="accent5" w:themeShade="95"/>
        <w:sz w:val="22"/>
      </w:rPr>
      <w:pPr>
        <w:pBdr/>
        <w:spacing/>
        <w:ind/>
      </w:pPr>
      <w:tblPr>
        <w:tblBorders/>
      </w:tblPr>
      <w:tcPr>
        <w:shd w:val="clear" w:color="ffffff" w:fill="auto"/>
        <w:tcBorders>
          <w:top w:val="none" w:color="000000" w:sz="4" w:space="0"/>
          <w:left w:val="single" w:color="a2c6e7" w:themeColor="accent5" w:themeTint="90" w:sz="4" w:space="0"/>
          <w:bottom w:val="none" w:color="000000" w:sz="4" w:space="0"/>
          <w:right w:val="none" w:color="000000" w:sz="4" w:space="0"/>
        </w:tcBorders>
      </w:tcPr>
    </w:tblStylePr>
    <w:tblStylePr w:type="lastRow">
      <w:rPr>
        <w:rFonts w:ascii="Arial" w:hAnsi="Arial"/>
        <w:b/>
        <w:color w:val="245a8d" w:themeColor="accent5" w:themeShade="95"/>
        <w:sz w:val="22"/>
      </w:rPr>
      <w:pPr>
        <w:pBdr/>
        <w:spacing/>
        <w:ind/>
      </w:pPr>
      <w:tblPr>
        <w:tblBorders/>
      </w:tblPr>
      <w:tcPr>
        <w:shd w:val="clear" w:color="ffffff" w:themeColor="light1" w:fill="ffffff" w:themeFill="light1"/>
        <w:tcBorders>
          <w:top w:val="single" w:color="a2c6e7"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customStyle="1">
    <w:name w:val="Grid Table 7 Colorful - Accent 6"/>
    <w:basedOn w:val="702"/>
    <w:uiPriority w:val="99"/>
    <w:pPr>
      <w:pBdr/>
      <w:spacing w:after="0" w:line="240" w:lineRule="auto"/>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1 Light"/>
    <w:basedOn w:val="70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customStyle="1">
    <w:name w:val="List Table 1 Light - Accent 1"/>
    <w:basedOn w:val="70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customStyle="1">
    <w:name w:val="List Table 1 Light - Accent 2"/>
    <w:basedOn w:val="70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customStyle="1">
    <w:name w:val="List Table 1 Light - Accent 3"/>
    <w:basedOn w:val="70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customStyle="1">
    <w:name w:val="List Table 1 Light - Accent 4"/>
    <w:basedOn w:val="70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customStyle="1">
    <w:name w:val="List Table 1 Light - Accent 5"/>
    <w:basedOn w:val="70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customStyle="1">
    <w:name w:val="List Table 1 Light - Accent 6"/>
    <w:basedOn w:val="702"/>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st Table 2"/>
    <w:basedOn w:val="702"/>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customStyle="1">
    <w:name w:val="List Table 2 - Accent 1"/>
    <w:basedOn w:val="702"/>
    <w:uiPriority w:val="99"/>
    <w:pPr>
      <w:pBdr/>
      <w:spacing w:after="0" w:line="240" w:lineRule="auto"/>
      <w:ind/>
    </w:p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customStyle="1">
    <w:name w:val="List Table 2 - Accent 2"/>
    <w:basedOn w:val="702"/>
    <w:uiPriority w:val="99"/>
    <w:pPr>
      <w:pBdr/>
      <w:spacing w:after="0" w:line="240" w:lineRule="auto"/>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customStyle="1">
    <w:name w:val="List Table 2 - Accent 3"/>
    <w:basedOn w:val="702"/>
    <w:uiPriority w:val="99"/>
    <w:pPr>
      <w:pBdr/>
      <w:spacing w:after="0" w:line="240" w:lineRule="auto"/>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List Table 2 - Accent 4"/>
    <w:basedOn w:val="702"/>
    <w:uiPriority w:val="99"/>
    <w:pPr>
      <w:pBdr/>
      <w:spacing w:after="0" w:line="240" w:lineRule="auto"/>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customStyle="1">
    <w:name w:val="List Table 2 - Accent 5"/>
    <w:basedOn w:val="702"/>
    <w:uiPriority w:val="99"/>
    <w:pPr>
      <w:pBdr/>
      <w:spacing w:after="0" w:line="240" w:lineRule="auto"/>
      <w:ind/>
    </w:p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List Table 2 - Accent 6"/>
    <w:basedOn w:val="702"/>
    <w:uiPriority w:val="99"/>
    <w:pPr>
      <w:pBdr/>
      <w:spacing w:after="0" w:line="240" w:lineRule="auto"/>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List Table 3"/>
    <w:basedOn w:val="70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customStyle="1">
    <w:name w:val="List Table 3 - Accent 1"/>
    <w:basedOn w:val="702"/>
    <w:uiPriority w:val="99"/>
    <w:pPr>
      <w:pBdr/>
      <w:spacing w:after="0" w:line="240" w:lineRule="auto"/>
      <w:ind/>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cPr>
      <w:tcBorders/>
    </w:tcPr>
    <w:tblStylePr w:type="band1Horz">
      <w:rPr>
        <w:rFonts w:ascii="Arial" w:hAnsi="Arial"/>
        <w:color w:val="404040"/>
        <w:sz w:val="22"/>
      </w:rPr>
      <w:pPr>
        <w:pBdr/>
        <w:spacing/>
        <w:ind/>
      </w:pPr>
      <w:tblPr>
        <w:tblBorders/>
      </w:tblPr>
      <w:tcPr>
        <w:tcBorders>
          <w:top w:val="single" w:color="4472c4" w:themeColor="accent1" w:sz="4" w:space="0"/>
          <w:bottom w:val="single" w:color="4472c4" w:themeColor="accent1" w:sz="4" w:space="0"/>
        </w:tcBorders>
      </w:tcPr>
    </w:tblStylePr>
    <w:tblStylePr w:type="band1Vert">
      <w:rPr>
        <w:rFonts w:ascii="Arial" w:hAnsi="Arial"/>
        <w:color w:val="404040"/>
        <w:sz w:val="22"/>
      </w:rPr>
      <w:pPr>
        <w:pBdr/>
        <w:spacing/>
        <w:ind/>
      </w:pPr>
      <w:tblPr>
        <w:tblBorders/>
      </w:tblPr>
      <w:tcPr>
        <w:tcBorders>
          <w:left w:val="single" w:color="4472c4" w:themeColor="accent1" w:sz="4" w:space="0"/>
          <w:right w:val="single" w:color="4472c4"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customStyle="1">
    <w:name w:val="List Table 3 - Accent 2"/>
    <w:basedOn w:val="702"/>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customStyle="1">
    <w:name w:val="List Table 3 - Accent 3"/>
    <w:basedOn w:val="702"/>
    <w:uiPriority w:val="99"/>
    <w:pPr>
      <w:pBdr/>
      <w:spacing w:after="0" w:line="240" w:lineRule="auto"/>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List Table 3 - Accent 4"/>
    <w:basedOn w:val="702"/>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List Table 3 - Accent 5"/>
    <w:basedOn w:val="702"/>
    <w:uiPriority w:val="99"/>
    <w:pPr>
      <w:pBdr/>
      <w:spacing w:after="0" w:line="240" w:lineRule="auto"/>
      <w:ind/>
    </w:p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bc2e5" w:themeColor="accent5" w:themeTint="9A" w:sz="4" w:space="0"/>
          <w:bottom w:val="single" w:color="9bc2e5" w:themeColor="accent5" w:themeTint="9A" w:sz="4" w:space="0"/>
        </w:tcBorders>
      </w:tcPr>
    </w:tblStylePr>
    <w:tblStylePr w:type="band1Vert">
      <w:rPr>
        <w:rFonts w:ascii="Arial" w:hAnsi="Arial"/>
        <w:color w:val="404040"/>
        <w:sz w:val="22"/>
      </w:rPr>
      <w:pPr>
        <w:pBdr/>
        <w:spacing/>
        <w:ind/>
      </w:pPr>
      <w:tblPr>
        <w:tblBorders/>
      </w:tblPr>
      <w:tcPr>
        <w:tcBorders>
          <w:left w:val="single" w:color="9bc2e5" w:themeColor="accent5" w:themeTint="9A" w:sz="4" w:space="0"/>
          <w:right w:val="single" w:color="9bc2e5"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c2e5" w:themeColor="accent5" w:themeTint="9A" w:fill="9bc2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List Table 3 - Accent 6"/>
    <w:basedOn w:val="702"/>
    <w:uiPriority w:val="99"/>
    <w:pPr>
      <w:pBdr/>
      <w:spacing w:after="0" w:line="240" w:lineRule="auto"/>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List Table 4"/>
    <w:basedOn w:val="702"/>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List Table 4 - Accent 1"/>
    <w:basedOn w:val="702"/>
    <w:uiPriority w:val="99"/>
    <w:pPr>
      <w:pBdr/>
      <w:spacing w:after="0" w:line="240" w:lineRule="auto"/>
      <w:ind/>
    </w:p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cPr>
      <w:tcBorders/>
    </w:tcPr>
    <w:tblStylePr w:type="band1Horz">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1Vert">
      <w:rPr>
        <w:rFonts w:ascii="Arial" w:hAnsi="Arial"/>
        <w:color w:val="404040"/>
        <w:sz w:val="22"/>
      </w:rPr>
      <w:pPr>
        <w:pBdr/>
        <w:spacing/>
        <w:ind/>
      </w:pPr>
      <w:tblPr>
        <w:tblBorders/>
      </w:tblPr>
      <w:tcPr>
        <w:shd w:val="clear" w:color="cfdbf0" w:themeColor="accent1" w:themeTint="40" w:fill="cfdb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List Table 4 - Accent 2"/>
    <w:basedOn w:val="702"/>
    <w:uiPriority w:val="9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customStyle="1">
    <w:name w:val="List Table 4 - Accent 3"/>
    <w:basedOn w:val="702"/>
    <w:uiPriority w:val="9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List Table 4 - Accent 4"/>
    <w:basedOn w:val="702"/>
    <w:uiPriority w:val="9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List Table 4 - Accent 5"/>
    <w:basedOn w:val="702"/>
    <w:uiPriority w:val="99"/>
    <w:pPr>
      <w:pBdr/>
      <w:spacing w:after="0" w:line="240" w:lineRule="auto"/>
      <w:ind/>
    </w:p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cPr>
      <w:tcBorders/>
    </w:tcPr>
    <w:tblStylePr w:type="band1Horz">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1Vert">
      <w:rPr>
        <w:rFonts w:ascii="Arial" w:hAnsi="Arial"/>
        <w:color w:val="404040"/>
        <w:sz w:val="22"/>
      </w:rPr>
      <w:pPr>
        <w:pBdr/>
        <w:spacing/>
        <w:ind/>
      </w:pPr>
      <w:tblPr>
        <w:tblBorders/>
      </w:tblPr>
      <w:tcPr>
        <w:shd w:val="clear" w:color="d5e5f4" w:themeColor="accent5" w:themeTint="40" w:fill="d5e5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List Table 4 - Accent 6"/>
    <w:basedOn w:val="702"/>
    <w:uiPriority w:val="9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List Table 5 Dark"/>
    <w:basedOn w:val="702"/>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List Table 5 Dark - Accent 1"/>
    <w:basedOn w:val="702"/>
    <w:uiPriority w:val="99"/>
    <w:pPr>
      <w:pBdr/>
      <w:spacing w:after="0" w:line="240" w:lineRule="auto"/>
      <w:ind/>
    </w:p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4472c4" w:themeColor="accent1" w:fill="4472c4" w:themeFill="accent1"/>
    </w:tblPr>
    <w:tcPr>
      <w:tcBorders/>
    </w:tcPr>
    <w:tblStylePr w:type="band1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472c4" w:themeColor="accent1" w:fill="4472c4"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472c4" w:themeColor="accent1" w:fill="4472c4"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472c4"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472c4" w:themeColor="accent1" w:fill="4472c4" w:themeFill="accent1"/>
        <w:tcBorders>
          <w:top w:val="single" w:color="4472c4"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List Table 5 Dark - Accent 2"/>
    <w:basedOn w:val="702"/>
    <w:uiPriority w:val="99"/>
    <w:pPr>
      <w:pBdr/>
      <w:spacing w:after="0" w:line="240" w:lineRule="auto"/>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List Table 5 Dark - Accent 3"/>
    <w:basedOn w:val="702"/>
    <w:uiPriority w:val="99"/>
    <w:pPr>
      <w:pBdr/>
      <w:spacing w:after="0" w:line="240" w:lineRule="auto"/>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List Table 5 Dark - Accent 4"/>
    <w:basedOn w:val="702"/>
    <w:uiPriority w:val="99"/>
    <w:pPr>
      <w:pBdr/>
      <w:spacing w:after="0" w:line="240" w:lineRule="auto"/>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List Table 5 Dark - Accent 5"/>
    <w:basedOn w:val="702"/>
    <w:uiPriority w:val="99"/>
    <w:pPr>
      <w:pBdr/>
      <w:spacing w:after="0" w:line="240" w:lineRule="auto"/>
      <w:ind/>
    </w:p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9bc2e5" w:themeColor="accent5" w:themeTint="9A" w:fill="9bc2e5" w:themeFill="accent5" w:themeFillTint="9A"/>
    </w:tblPr>
    <w:tcPr>
      <w:tcBorders/>
    </w:tcPr>
    <w:tblStylePr w:type="band1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bc2e5" w:themeColor="accent5" w:themeTint="9A" w:fill="9bc2e5"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bc2e5" w:themeColor="accent5" w:themeTint="9A" w:fill="9bc2e5"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bc2e5"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bc2e5" w:themeColor="accent5" w:themeTint="9A" w:fill="9bc2e5" w:themeFill="accent5" w:themeFillTint="9A"/>
        <w:tcBorders>
          <w:top w:val="single" w:color="9bc2e5"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bc2e5"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List Table 5 Dark - Accent 6"/>
    <w:basedOn w:val="702"/>
    <w:uiPriority w:val="99"/>
    <w:pPr>
      <w:pBdr/>
      <w:spacing w:after="0" w:line="240" w:lineRule="auto"/>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List Table 6 Colorful"/>
    <w:basedOn w:val="702"/>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List Table 6 Colorful - Accent 1"/>
    <w:basedOn w:val="702"/>
    <w:uiPriority w:val="99"/>
    <w:pPr>
      <w:pBdr/>
      <w:spacing w:after="0" w:line="240" w:lineRule="auto"/>
      <w:ind/>
    </w:pPr>
    <w:tblPr>
      <w:tblStyleRowBandSize w:val="1"/>
      <w:tblStyleColBandSize w:val="1"/>
      <w:tblBorders>
        <w:top w:val="single" w:color="4472c4" w:themeColor="accent1" w:sz="4" w:space="0"/>
        <w:bottom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1" w:themeShade="95"/>
      </w:rPr>
      <w:pPr>
        <w:pBdr/>
        <w:spacing/>
        <w:ind/>
      </w:pPr>
      <w:tblPr>
        <w:tblBorders/>
      </w:tblPr>
      <w:tcPr>
        <w:tcBorders/>
      </w:tcPr>
    </w:tblStylePr>
    <w:tblStylePr w:type="firstRow">
      <w:rPr>
        <w:b/>
        <w:color w:val="254175" w:themeColor="accent1" w:themeShade="95"/>
      </w:rPr>
      <w:pPr>
        <w:pBdr/>
        <w:spacing/>
        <w:ind/>
      </w:pPr>
      <w:tblPr>
        <w:tblBorders/>
      </w:tblPr>
      <w:tcPr>
        <w:tcBorders>
          <w:bottom w:val="single" w:color="4472c4" w:themeColor="accent1" w:sz="4" w:space="0"/>
        </w:tcBorders>
      </w:tcPr>
    </w:tblStylePr>
    <w:tblStylePr w:type="lastCol">
      <w:rPr>
        <w:b/>
        <w:color w:val="254175" w:themeColor="accent1" w:themeShade="95"/>
      </w:rPr>
      <w:pPr>
        <w:pBdr/>
        <w:spacing/>
        <w:ind/>
      </w:pPr>
      <w:tblPr>
        <w:tblBorders/>
      </w:tblPr>
      <w:tcPr>
        <w:tcBorders/>
      </w:tcPr>
    </w:tblStylePr>
    <w:tblStylePr w:type="lastRow">
      <w:rPr>
        <w:b/>
        <w:color w:val="254175" w:themeColor="accent1" w:themeShade="95"/>
      </w:rPr>
      <w:pPr>
        <w:pBdr/>
        <w:spacing/>
        <w:ind/>
      </w:pPr>
      <w:tblPr>
        <w:tblBorders/>
      </w:tblPr>
      <w:tcPr>
        <w:tcBorders>
          <w:top w:val="single" w:color="4472c4"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List Table 6 Colorful - Accent 2"/>
    <w:basedOn w:val="702"/>
    <w:uiPriority w:val="99"/>
    <w:pPr>
      <w:pBdr/>
      <w:spacing w:after="0" w:line="240" w:lineRule="auto"/>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List Table 6 Colorful - Accent 3"/>
    <w:basedOn w:val="702"/>
    <w:uiPriority w:val="99"/>
    <w:pPr>
      <w:pBdr/>
      <w:spacing w:after="0" w:line="240" w:lineRule="auto"/>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List Table 6 Colorful - Accent 4"/>
    <w:basedOn w:val="702"/>
    <w:uiPriority w:val="99"/>
    <w:pPr>
      <w:pBdr/>
      <w:spacing w:after="0" w:line="240" w:lineRule="auto"/>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List Table 6 Colorful - Accent 5"/>
    <w:basedOn w:val="702"/>
    <w:uiPriority w:val="99"/>
    <w:pPr>
      <w:pBdr/>
      <w:spacing w:after="0" w:line="240" w:lineRule="auto"/>
      <w:ind/>
    </w:pPr>
    <w:tblPr>
      <w:tblStyleRowBandSize w:val="1"/>
      <w:tblStyleColBandSize w:val="1"/>
      <w:tblBorders>
        <w:top w:val="single" w:color="9bc2e5" w:themeColor="accent5" w:themeTint="9A" w:sz="4" w:space="0"/>
        <w:bottom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bc2e5" w:themeColor="accent5" w:themeTint="9A" w:themeShade="95"/>
      </w:rPr>
      <w:pPr>
        <w:pBdr/>
        <w:spacing/>
        <w:ind/>
      </w:pPr>
      <w:tblPr>
        <w:tblBorders/>
      </w:tblPr>
      <w:tcPr>
        <w:tcBorders/>
      </w:tcPr>
    </w:tblStylePr>
    <w:tblStylePr w:type="firstRow">
      <w:rPr>
        <w:b/>
        <w:color w:val="9bc2e5" w:themeColor="accent5" w:themeTint="9A" w:themeShade="95"/>
      </w:rPr>
      <w:pPr>
        <w:pBdr/>
        <w:spacing/>
        <w:ind/>
      </w:pPr>
      <w:tblPr>
        <w:tblBorders/>
      </w:tblPr>
      <w:tcPr>
        <w:tcBorders>
          <w:bottom w:val="single" w:color="9bc2e5" w:themeColor="accent5" w:themeTint="9A" w:sz="4" w:space="0"/>
        </w:tcBorders>
      </w:tcPr>
    </w:tblStylePr>
    <w:tblStylePr w:type="lastCol">
      <w:rPr>
        <w:b/>
        <w:color w:val="9bc2e5" w:themeColor="accent5" w:themeTint="9A" w:themeShade="95"/>
      </w:rPr>
      <w:pPr>
        <w:pBdr/>
        <w:spacing/>
        <w:ind/>
      </w:pPr>
      <w:tblPr>
        <w:tblBorders/>
      </w:tblPr>
      <w:tcPr>
        <w:tcBorders/>
      </w:tcPr>
    </w:tblStylePr>
    <w:tblStylePr w:type="lastRow">
      <w:rPr>
        <w:b/>
        <w:color w:val="9bc2e5" w:themeColor="accent5" w:themeTint="9A" w:themeShade="95"/>
      </w:rPr>
      <w:pPr>
        <w:pBdr/>
        <w:spacing/>
        <w:ind/>
      </w:pPr>
      <w:tblPr>
        <w:tblBorders/>
      </w:tblPr>
      <w:tcPr>
        <w:tcBorders>
          <w:top w:val="single" w:color="9bc2e5"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List Table 6 Colorful - Accent 6"/>
    <w:basedOn w:val="702"/>
    <w:uiPriority w:val="99"/>
    <w:pPr>
      <w:pBdr/>
      <w:spacing w:after="0" w:line="240" w:lineRule="auto"/>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List Table 7 Colorful"/>
    <w:basedOn w:val="702"/>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List Table 7 Colorful - Accent 1"/>
    <w:basedOn w:val="702"/>
    <w:uiPriority w:val="99"/>
    <w:pPr>
      <w:pBdr/>
      <w:spacing w:after="0" w:line="240" w:lineRule="auto"/>
      <w:ind/>
    </w:pPr>
    <w:tblPr>
      <w:tblStyleRowBandSize w:val="1"/>
      <w:tblStyleColBandSize w:val="1"/>
      <w:tblBorders>
        <w:right w:val="single" w:color="4472c4" w:themeColor="accent1" w:sz="4" w:space="0"/>
      </w:tblBorders>
    </w:tblPr>
    <w:tcPr>
      <w:tcBorders/>
    </w:tcPr>
    <w:tblStylePr w:type="band1Horz">
      <w:rPr>
        <w:rFonts w:ascii="Arial" w:hAnsi="Arial"/>
        <w:color w:val="254175" w:themeColor="accent1" w:themeShade="95"/>
        <w:sz w:val="22"/>
      </w:rPr>
      <w:pPr>
        <w:pBdr/>
        <w:spacing/>
        <w:ind/>
      </w:pPr>
      <w:tblPr>
        <w:tblBorders/>
      </w:tblPr>
      <w:tcPr>
        <w:shd w:val="clear" w:color="cfdbf0" w:themeColor="accent1" w:themeTint="40" w:fill="cfdbf0" w:themeFill="accent1" w:themeFillTint="40"/>
        <w:tcBorders/>
      </w:tcPr>
    </w:tblStylePr>
    <w:tblStylePr w:type="band1Vert">
      <w:pPr>
        <w:pBdr/>
        <w:spacing/>
        <w:ind/>
      </w:pPr>
      <w:tblPr>
        <w:tblBorders/>
      </w:tblPr>
      <w:tcPr>
        <w:shd w:val="clear" w:color="cfdbf0" w:themeColor="accent1" w:themeTint="40" w:fill="cfdbf0" w:themeFill="accent1" w:themeFillTint="40"/>
        <w:tcBorders/>
      </w:tcPr>
    </w:tblStylePr>
    <w:tblStylePr w:type="band2Horz">
      <w:rPr>
        <w:rFonts w:ascii="Arial" w:hAnsi="Arial"/>
        <w:color w:val="254175"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1" w:sz="4" w:space="0"/>
        </w:tcBorders>
      </w:tcPr>
    </w:tblStylePr>
    <w:tblStylePr w:type="firstRow">
      <w:rPr>
        <w:rFonts w:ascii="Arial" w:hAnsi="Arial"/>
        <w:i/>
        <w:color w:val="254175"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472c4" w:themeColor="accent1" w:sz="4" w:space="0"/>
          <w:right w:val="none" w:color="000000" w:sz="4" w:space="0"/>
        </w:tcBorders>
      </w:tcPr>
    </w:tblStylePr>
    <w:tblStylePr w:type="lastCol">
      <w:rPr>
        <w:rFonts w:ascii="Arial" w:hAnsi="Arial"/>
        <w:i/>
        <w:color w:val="254175" w:themeColor="accent1" w:themeShade="95"/>
        <w:sz w:val="22"/>
      </w:rPr>
      <w:pPr>
        <w:pBdr/>
        <w:spacing/>
        <w:ind/>
      </w:pPr>
      <w:tblPr>
        <w:tblBorders/>
      </w:tblPr>
      <w:tcPr>
        <w:shd w:val="clear" w:color="ffffff" w:fill="auto"/>
        <w:tcBorders>
          <w:top w:val="none" w:color="000000" w:sz="4" w:space="0"/>
          <w:left w:val="single" w:color="4472c4" w:themeColor="accent1" w:sz="4" w:space="0"/>
          <w:bottom w:val="none" w:color="000000" w:sz="4" w:space="0"/>
          <w:right w:val="none" w:color="000000" w:sz="4" w:space="0"/>
        </w:tcBorders>
      </w:tcPr>
    </w:tblStylePr>
    <w:tblStylePr w:type="lastRow">
      <w:rPr>
        <w:rFonts w:ascii="Arial" w:hAnsi="Arial"/>
        <w:i/>
        <w:color w:val="254175" w:themeColor="accent1" w:themeShade="95"/>
        <w:sz w:val="22"/>
      </w:rPr>
      <w:pPr>
        <w:pBdr/>
        <w:spacing/>
        <w:ind/>
      </w:pPr>
      <w:tblPr>
        <w:tblBorders/>
      </w:tblPr>
      <w:tcPr>
        <w:shd w:val="clear" w:color="ffffff" w:themeColor="light1" w:fill="ffffff" w:themeFill="light1"/>
        <w:tcBorders>
          <w:top w:val="single" w:color="4472c4"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List Table 7 Colorful - Accent 2"/>
    <w:basedOn w:val="702"/>
    <w:uiPriority w:val="99"/>
    <w:pPr>
      <w:pBdr/>
      <w:spacing w:after="0" w:line="240" w:lineRule="auto"/>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List Table 7 Colorful - Accent 3"/>
    <w:basedOn w:val="702"/>
    <w:uiPriority w:val="99"/>
    <w:pPr>
      <w:pBdr/>
      <w:spacing w:after="0" w:line="240" w:lineRule="auto"/>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List Table 7 Colorful - Accent 4"/>
    <w:basedOn w:val="702"/>
    <w:uiPriority w:val="99"/>
    <w:pPr>
      <w:pBdr/>
      <w:spacing w:after="0" w:line="240" w:lineRule="auto"/>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List Table 7 Colorful - Accent 5"/>
    <w:basedOn w:val="702"/>
    <w:uiPriority w:val="99"/>
    <w:pPr>
      <w:pBdr/>
      <w:spacing w:after="0" w:line="240" w:lineRule="auto"/>
      <w:ind/>
    </w:pPr>
    <w:tblPr>
      <w:tblStyleRowBandSize w:val="1"/>
      <w:tblStyleColBandSize w:val="1"/>
      <w:tblBorders>
        <w:right w:val="single" w:color="9bc2e5" w:themeColor="accent5" w:themeTint="9A" w:sz="4" w:space="0"/>
      </w:tblBorders>
    </w:tblPr>
    <w:tcPr>
      <w:tcBorders/>
    </w:tcPr>
    <w:tblStylePr w:type="band1Horz">
      <w:rPr>
        <w:rFonts w:ascii="Arial" w:hAnsi="Arial"/>
        <w:color w:val="9bc2e5" w:themeColor="accent5" w:themeTint="9A" w:themeShade="95"/>
        <w:sz w:val="22"/>
      </w:rPr>
      <w:pPr>
        <w:pBdr/>
        <w:spacing/>
        <w:ind/>
      </w:pPr>
      <w:tblPr>
        <w:tblBorders/>
      </w:tblPr>
      <w:tcPr>
        <w:shd w:val="clear" w:color="d5e5f4" w:themeColor="accent5" w:themeTint="40" w:fill="d5e5f4" w:themeFill="accent5" w:themeFillTint="40"/>
        <w:tcBorders/>
      </w:tcPr>
    </w:tblStylePr>
    <w:tblStylePr w:type="band1Vert">
      <w:pPr>
        <w:pBdr/>
        <w:spacing/>
        <w:ind/>
      </w:pPr>
      <w:tblPr>
        <w:tblBorders/>
      </w:tblPr>
      <w:tcPr>
        <w:shd w:val="clear" w:color="d5e5f4" w:themeColor="accent5" w:themeTint="40" w:fill="d5e5f4" w:themeFill="accent5" w:themeFillTint="40"/>
        <w:tcBorders/>
      </w:tcPr>
    </w:tblStylePr>
    <w:tblStylePr w:type="band2Horz">
      <w:rPr>
        <w:rFonts w:ascii="Arial" w:hAnsi="Arial"/>
        <w:color w:val="9bc2e5"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bc2e5"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bc2e5" w:themeColor="accent5" w:themeTint="9A" w:sz="4" w:space="0"/>
        </w:tcBorders>
      </w:tcPr>
    </w:tblStylePr>
    <w:tblStylePr w:type="fir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bc2e5" w:themeColor="accent5" w:themeTint="9A" w:sz="4" w:space="0"/>
          <w:right w:val="none" w:color="000000" w:sz="4" w:space="0"/>
        </w:tcBorders>
      </w:tcPr>
    </w:tblStylePr>
    <w:tblStylePr w:type="lastCol">
      <w:rPr>
        <w:rFonts w:ascii="Arial" w:hAnsi="Arial"/>
        <w:i/>
        <w:color w:val="9bc2e5" w:themeColor="accent5" w:themeTint="9A" w:themeShade="95"/>
        <w:sz w:val="22"/>
      </w:rPr>
      <w:pPr>
        <w:pBdr/>
        <w:spacing/>
        <w:ind/>
      </w:pPr>
      <w:tblPr>
        <w:tblBorders/>
      </w:tblPr>
      <w:tcPr>
        <w:shd w:val="clear" w:color="ffffff" w:fill="auto"/>
        <w:tcBorders>
          <w:top w:val="none" w:color="000000" w:sz="4" w:space="0"/>
          <w:left w:val="single" w:color="9bc2e5" w:themeColor="accent5" w:themeTint="9A" w:sz="4" w:space="0"/>
          <w:bottom w:val="none" w:color="000000" w:sz="4" w:space="0"/>
          <w:right w:val="none" w:color="000000" w:sz="4" w:space="0"/>
        </w:tcBorders>
      </w:tcPr>
    </w:tblStylePr>
    <w:tblStylePr w:type="lastRow">
      <w:rPr>
        <w:rFonts w:ascii="Arial" w:hAnsi="Arial"/>
        <w:i/>
        <w:color w:val="9bc2e5" w:themeColor="accent5" w:themeTint="9A" w:themeShade="95"/>
        <w:sz w:val="22"/>
      </w:rPr>
      <w:pPr>
        <w:pBdr/>
        <w:spacing/>
        <w:ind/>
      </w:pPr>
      <w:tblPr>
        <w:tblBorders/>
      </w:tblPr>
      <w:tcPr>
        <w:shd w:val="clear" w:color="ffffff" w:themeColor="light1" w:fill="ffffff" w:themeFill="light1"/>
        <w:tcBorders>
          <w:top w:val="single" w:color="9bc2e5"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List Table 7 Colorful - Accent 6"/>
    <w:basedOn w:val="702"/>
    <w:uiPriority w:val="99"/>
    <w:pPr>
      <w:pBdr/>
      <w:spacing w:after="0" w:line="240" w:lineRule="auto"/>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Lined - Accent"/>
    <w:basedOn w:val="702"/>
    <w:uiPriority w:val="99"/>
    <w:pPr>
      <w:pBdr/>
      <w:spacing w:after="0" w:line="240" w:lineRule="auto"/>
      <w:ind/>
    </w:pPr>
    <w:rPr>
      <w:color w:val="404040"/>
      <w:sz w:val="20"/>
      <w:szCs w:val="20"/>
      <w:lang w:eastAsia="cs-CZ"/>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Lined - Accent 1"/>
    <w:basedOn w:val="702"/>
    <w:uiPriority w:val="99"/>
    <w:pPr>
      <w:pBdr/>
      <w:spacing w:after="0" w:line="240" w:lineRule="auto"/>
      <w:ind/>
    </w:pPr>
    <w:rPr>
      <w:color w:val="404040"/>
      <w:sz w:val="20"/>
      <w:szCs w:val="20"/>
      <w:lang w:eastAsia="cs-CZ"/>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Lined - Accent 2"/>
    <w:basedOn w:val="702"/>
    <w:uiPriority w:val="99"/>
    <w:pPr>
      <w:pBdr/>
      <w:spacing w:after="0" w:line="240" w:lineRule="auto"/>
      <w:ind/>
    </w:pPr>
    <w:rPr>
      <w:color w:val="404040"/>
      <w:sz w:val="20"/>
      <w:szCs w:val="20"/>
      <w:lang w:eastAsia="cs-CZ"/>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Lined - Accent 3"/>
    <w:basedOn w:val="702"/>
    <w:uiPriority w:val="99"/>
    <w:pPr>
      <w:pBdr/>
      <w:spacing w:after="0" w:line="240" w:lineRule="auto"/>
      <w:ind/>
    </w:pPr>
    <w:rPr>
      <w:color w:val="404040"/>
      <w:sz w:val="20"/>
      <w:szCs w:val="20"/>
      <w:lang w:eastAsia="cs-CZ"/>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Lined - Accent 4"/>
    <w:basedOn w:val="702"/>
    <w:uiPriority w:val="99"/>
    <w:pPr>
      <w:pBdr/>
      <w:spacing w:after="0" w:line="240" w:lineRule="auto"/>
      <w:ind/>
    </w:pPr>
    <w:rPr>
      <w:color w:val="404040"/>
      <w:sz w:val="20"/>
      <w:szCs w:val="20"/>
      <w:lang w:eastAsia="cs-CZ"/>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Lined - Accent 5"/>
    <w:basedOn w:val="702"/>
    <w:uiPriority w:val="99"/>
    <w:pPr>
      <w:pBdr/>
      <w:spacing w:after="0" w:line="240" w:lineRule="auto"/>
      <w:ind/>
    </w:pPr>
    <w:rPr>
      <w:color w:val="404040"/>
      <w:sz w:val="20"/>
      <w:szCs w:val="20"/>
      <w:lang w:eastAsia="cs-CZ"/>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Lined - Accent 6"/>
    <w:basedOn w:val="702"/>
    <w:uiPriority w:val="99"/>
    <w:pPr>
      <w:pBdr/>
      <w:spacing w:after="0" w:line="240" w:lineRule="auto"/>
      <w:ind/>
    </w:pPr>
    <w:rPr>
      <w:color w:val="404040"/>
      <w:sz w:val="20"/>
      <w:szCs w:val="20"/>
      <w:lang w:eastAsia="cs-CZ"/>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Bordered &amp; Lined - Accent"/>
    <w:basedOn w:val="702"/>
    <w:uiPriority w:val="99"/>
    <w:pPr>
      <w:pBdr/>
      <w:spacing w:after="0" w:line="240" w:lineRule="auto"/>
      <w:ind/>
    </w:pPr>
    <w:rPr>
      <w:color w:val="404040"/>
      <w:sz w:val="20"/>
      <w:szCs w:val="20"/>
      <w:lang w:eastAsia="cs-CZ"/>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Bordered &amp; Lined - Accent 1"/>
    <w:basedOn w:val="702"/>
    <w:uiPriority w:val="99"/>
    <w:pPr>
      <w:pBdr/>
      <w:spacing w:after="0" w:line="240" w:lineRule="auto"/>
      <w:ind/>
    </w:pPr>
    <w:rPr>
      <w:color w:val="404040"/>
      <w:sz w:val="20"/>
      <w:szCs w:val="20"/>
      <w:lang w:eastAsia="cs-CZ"/>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band2Vert">
      <w:rPr>
        <w:rFonts w:ascii="Arial" w:hAnsi="Arial"/>
        <w:color w:val="404040"/>
        <w:sz w:val="22"/>
      </w:rPr>
      <w:pPr>
        <w:pBdr/>
        <w:spacing/>
        <w:ind/>
      </w:pPr>
      <w:tblPr>
        <w:tblBorders/>
      </w:tblPr>
      <w:tcPr>
        <w:shd w:val="clear" w:color="c4d2ec" w:themeColor="accent1" w:themeTint="50" w:fill="c4d2ec" w:themeFill="accent1" w:themeFillTint="50"/>
        <w:tcBorders/>
      </w:tcPr>
    </w:tblStylePr>
    <w:tblStylePr w:type="fir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fir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Col">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lastRow">
      <w:rPr>
        <w:rFonts w:ascii="Arial" w:hAnsi="Arial"/>
        <w:color w:val="f2f2f2"/>
        <w:sz w:val="22"/>
      </w:rPr>
      <w:pPr>
        <w:pBdr/>
        <w:spacing/>
        <w:ind/>
      </w:pPr>
      <w:tblPr>
        <w:tblBorders/>
      </w:tblPr>
      <w:tcPr>
        <w:shd w:val="clear" w:color="537dc8" w:themeColor="accent1" w:themeTint="EA" w:fill="537d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Bordered &amp; Lined - Accent 2"/>
    <w:basedOn w:val="702"/>
    <w:uiPriority w:val="99"/>
    <w:pPr>
      <w:pBdr/>
      <w:spacing w:after="0" w:line="240" w:lineRule="auto"/>
      <w:ind/>
    </w:pPr>
    <w:rPr>
      <w:color w:val="404040"/>
      <w:sz w:val="20"/>
      <w:szCs w:val="20"/>
      <w:lang w:eastAsia="cs-CZ"/>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Bordered &amp; Lined - Accent 3"/>
    <w:basedOn w:val="702"/>
    <w:uiPriority w:val="99"/>
    <w:pPr>
      <w:pBdr/>
      <w:spacing w:after="0" w:line="240" w:lineRule="auto"/>
      <w:ind/>
    </w:pPr>
    <w:rPr>
      <w:color w:val="404040"/>
      <w:sz w:val="20"/>
      <w:szCs w:val="20"/>
      <w:lang w:eastAsia="cs-CZ"/>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Bordered &amp; Lined - Accent 4"/>
    <w:basedOn w:val="702"/>
    <w:uiPriority w:val="99"/>
    <w:pPr>
      <w:pBdr/>
      <w:spacing w:after="0" w:line="240" w:lineRule="auto"/>
      <w:ind/>
    </w:pPr>
    <w:rPr>
      <w:color w:val="404040"/>
      <w:sz w:val="20"/>
      <w:szCs w:val="20"/>
      <w:lang w:eastAsia="cs-CZ"/>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Bordered &amp; Lined - Accent 5"/>
    <w:basedOn w:val="702"/>
    <w:uiPriority w:val="99"/>
    <w:pPr>
      <w:pBdr/>
      <w:spacing w:after="0" w:line="240" w:lineRule="auto"/>
      <w:ind/>
    </w:pPr>
    <w:rPr>
      <w:color w:val="404040"/>
      <w:sz w:val="20"/>
      <w:szCs w:val="20"/>
      <w:lang w:eastAsia="cs-CZ"/>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band2Vert">
      <w:rPr>
        <w:rFonts w:ascii="Arial" w:hAnsi="Arial"/>
        <w:color w:val="404040"/>
        <w:sz w:val="22"/>
      </w:rPr>
      <w:pPr>
        <w:pBdr/>
        <w:spacing/>
        <w:ind/>
      </w:pPr>
      <w:tblPr>
        <w:tblBorders/>
      </w:tblPr>
      <w:tcPr>
        <w:shd w:val="clear" w:color="ddeaf6" w:themeColor="accent5" w:themeTint="34" w:fill="ddeaf6" w:themeFill="accent5" w:themeFillTint="34"/>
        <w:tcBorders/>
      </w:tcPr>
    </w:tblStylePr>
    <w:tblStylePr w:type="firstCol">
      <w:rPr>
        <w:rFonts w:ascii="Arial" w:hAnsi="Arial"/>
        <w:color w:val="f2f2f2"/>
        <w:sz w:val="22"/>
      </w:rPr>
      <w:pPr>
        <w:pBdr/>
        <w:spacing/>
        <w:ind/>
      </w:pPr>
      <w:tblPr>
        <w:tblBorders/>
      </w:tblPr>
      <w:tcPr>
        <w:shd w:val="clear" w:color="5b9bd5" w:themeColor="accent5" w:fill="5b9bd5" w:themeFill="accent5"/>
        <w:tcBorders/>
      </w:tcPr>
    </w:tblStylePr>
    <w:tblStylePr w:type="firstRow">
      <w:rPr>
        <w:rFonts w:ascii="Arial" w:hAnsi="Arial"/>
        <w:color w:val="f2f2f2"/>
        <w:sz w:val="22"/>
      </w:rPr>
      <w:pPr>
        <w:pBdr/>
        <w:spacing/>
        <w:ind/>
      </w:pPr>
      <w:tblPr>
        <w:tblBorders/>
      </w:tblPr>
      <w:tcPr>
        <w:shd w:val="clear" w:color="5b9bd5" w:themeColor="accent5" w:fill="5b9bd5" w:themeFill="accent5"/>
        <w:tcBorders/>
      </w:tcPr>
    </w:tblStylePr>
    <w:tblStylePr w:type="lastCol">
      <w:rPr>
        <w:rFonts w:ascii="Arial" w:hAnsi="Arial"/>
        <w:color w:val="f2f2f2"/>
        <w:sz w:val="22"/>
      </w:rPr>
      <w:pPr>
        <w:pBdr/>
        <w:spacing/>
        <w:ind/>
      </w:pPr>
      <w:tblPr>
        <w:tblBorders/>
      </w:tblPr>
      <w:tcPr>
        <w:shd w:val="clear" w:color="5b9bd5" w:themeColor="accent5" w:fill="5b9bd5" w:themeFill="accent5"/>
        <w:tcBorders/>
      </w:tcPr>
    </w:tblStylePr>
    <w:tblStylePr w:type="lastRow">
      <w:rPr>
        <w:rFonts w:ascii="Arial" w:hAnsi="Arial"/>
        <w:color w:val="f2f2f2"/>
        <w:sz w:val="22"/>
      </w:rPr>
      <w:pPr>
        <w:pBdr/>
        <w:spacing/>
        <w:ind/>
      </w:pPr>
      <w:tblPr>
        <w:tblBorders/>
      </w:tblPr>
      <w:tcPr>
        <w:shd w:val="clear" w:color="5b9bd5"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Bordered &amp; Lined - Accent 6"/>
    <w:basedOn w:val="702"/>
    <w:uiPriority w:val="99"/>
    <w:pPr>
      <w:pBdr/>
      <w:spacing w:after="0" w:line="240" w:lineRule="auto"/>
      <w:ind/>
    </w:pPr>
    <w:rPr>
      <w:color w:val="404040"/>
      <w:sz w:val="20"/>
      <w:szCs w:val="20"/>
      <w:lang w:eastAsia="cs-CZ"/>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Bordered"/>
    <w:basedOn w:val="702"/>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Bordered - Accent 1"/>
    <w:basedOn w:val="702"/>
    <w:uiPriority w:val="99"/>
    <w:pPr>
      <w:pBdr/>
      <w:spacing w:after="0" w:line="240" w:lineRule="auto"/>
      <w:ind/>
    </w:p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472c4" w:themeColor="accent1" w:sz="12" w:space="0"/>
        </w:tcBorders>
      </w:tcPr>
    </w:tblStylePr>
    <w:tblStylePr w:type="lastCol">
      <w:rPr>
        <w:rFonts w:ascii="Arial" w:hAnsi="Arial"/>
        <w:color w:val="404040"/>
        <w:sz w:val="22"/>
      </w:rPr>
      <w:pPr>
        <w:pBdr/>
        <w:spacing/>
        <w:ind/>
      </w:pPr>
      <w:tblPr>
        <w:tblBorders/>
      </w:tblPr>
      <w:tcPr>
        <w:tcBorders>
          <w:left w:val="single" w:color="4472c4" w:themeColor="accent1" w:sz="12" w:space="0"/>
        </w:tcBorders>
      </w:tcPr>
    </w:tblStylePr>
    <w:tblStylePr w:type="lastRow">
      <w:rPr>
        <w:rFonts w:ascii="Arial" w:hAnsi="Arial"/>
        <w:color w:val="404040"/>
        <w:sz w:val="22"/>
      </w:rPr>
      <w:pPr>
        <w:pBdr/>
        <w:spacing/>
        <w:ind/>
      </w:pPr>
      <w:tblPr>
        <w:tblBorders/>
      </w:tblPr>
      <w:tcPr>
        <w:tcBorders>
          <w:top w:val="single" w:color="4472c4"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Bordered - Accent 2"/>
    <w:basedOn w:val="702"/>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Bordered - Accent 3"/>
    <w:basedOn w:val="702"/>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Bordered - Accent 4"/>
    <w:basedOn w:val="702"/>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Bordered - Accent 5"/>
    <w:basedOn w:val="702"/>
    <w:uiPriority w:val="99"/>
    <w:pPr>
      <w:pBdr/>
      <w:spacing w:after="0" w:line="240" w:lineRule="auto"/>
      <w:ind/>
    </w:p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bc2e5" w:themeColor="accent5" w:themeTint="9A" w:sz="12" w:space="0"/>
        </w:tcBorders>
      </w:tcPr>
    </w:tblStylePr>
    <w:tblStylePr w:type="lastCol">
      <w:rPr>
        <w:rFonts w:ascii="Arial" w:hAnsi="Arial"/>
        <w:color w:val="404040"/>
        <w:sz w:val="22"/>
      </w:rPr>
      <w:pPr>
        <w:pBdr/>
        <w:spacing/>
        <w:ind/>
      </w:pPr>
      <w:tblPr>
        <w:tblBorders/>
      </w:tblPr>
      <w:tcPr>
        <w:tcBorders>
          <w:left w:val="single" w:color="9bc2e5" w:themeColor="accent5" w:themeTint="9A" w:sz="12" w:space="0"/>
        </w:tcBorders>
      </w:tcPr>
    </w:tblStylePr>
    <w:tblStylePr w:type="lastRow">
      <w:rPr>
        <w:rFonts w:ascii="Arial" w:hAnsi="Arial"/>
        <w:color w:val="404040"/>
        <w:sz w:val="22"/>
      </w:rPr>
      <w:pPr>
        <w:pBdr/>
        <w:spacing/>
        <w:ind/>
      </w:pPr>
      <w:tblPr>
        <w:tblBorders/>
      </w:tblPr>
      <w:tcPr>
        <w:tcBorders>
          <w:top w:val="single" w:color="9bc2e5"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Bordered - Accent 6"/>
    <w:basedOn w:val="702"/>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66">
    <w:name w:val="Hyperlink"/>
    <w:uiPriority w:val="99"/>
    <w:unhideWhenUsed/>
    <w:pPr>
      <w:pBdr/>
      <w:spacing/>
      <w:ind/>
    </w:pPr>
    <w:rPr>
      <w:color w:val="0563c1" w:themeColor="hyperlink"/>
      <w:u w:val="single"/>
    </w:rPr>
  </w:style>
  <w:style w:type="paragraph" w:styleId="867">
    <w:name w:val="footnote text"/>
    <w:basedOn w:val="691"/>
    <w:link w:val="868"/>
    <w:uiPriority w:val="99"/>
    <w:semiHidden/>
    <w:unhideWhenUsed/>
    <w:pPr>
      <w:pBdr/>
      <w:spacing w:after="40" w:line="240" w:lineRule="auto"/>
      <w:ind/>
    </w:pPr>
    <w:rPr>
      <w:sz w:val="18"/>
    </w:rPr>
  </w:style>
  <w:style w:type="character" w:styleId="868" w:customStyle="1">
    <w:name w:val="Text pozn. pod čarou Char"/>
    <w:link w:val="867"/>
    <w:uiPriority w:val="99"/>
    <w:pPr>
      <w:pBdr/>
      <w:spacing/>
      <w:ind/>
    </w:pPr>
    <w:rPr>
      <w:sz w:val="18"/>
    </w:rPr>
  </w:style>
  <w:style w:type="character" w:styleId="869">
    <w:name w:val="footnote reference"/>
    <w:basedOn w:val="701"/>
    <w:uiPriority w:val="99"/>
    <w:unhideWhenUsed/>
    <w:pPr>
      <w:pBdr/>
      <w:spacing/>
      <w:ind/>
    </w:pPr>
    <w:rPr>
      <w:vertAlign w:val="superscript"/>
    </w:rPr>
  </w:style>
  <w:style w:type="paragraph" w:styleId="870">
    <w:name w:val="endnote text"/>
    <w:basedOn w:val="691"/>
    <w:link w:val="871"/>
    <w:uiPriority w:val="99"/>
    <w:semiHidden/>
    <w:unhideWhenUsed/>
    <w:pPr>
      <w:pBdr/>
      <w:spacing w:after="0" w:line="240" w:lineRule="auto"/>
      <w:ind/>
    </w:pPr>
    <w:rPr>
      <w:sz w:val="20"/>
    </w:rPr>
  </w:style>
  <w:style w:type="character" w:styleId="871" w:customStyle="1">
    <w:name w:val="Text vysvětlivek Char"/>
    <w:link w:val="870"/>
    <w:uiPriority w:val="99"/>
    <w:pPr>
      <w:pBdr/>
      <w:spacing/>
      <w:ind/>
    </w:pPr>
    <w:rPr>
      <w:sz w:val="20"/>
    </w:rPr>
  </w:style>
  <w:style w:type="character" w:styleId="872">
    <w:name w:val="endnote reference"/>
    <w:basedOn w:val="701"/>
    <w:uiPriority w:val="99"/>
    <w:semiHidden/>
    <w:unhideWhenUsed/>
    <w:pPr>
      <w:pBdr/>
      <w:spacing/>
      <w:ind/>
    </w:pPr>
    <w:rPr>
      <w:vertAlign w:val="superscript"/>
    </w:rPr>
  </w:style>
  <w:style w:type="paragraph" w:styleId="873">
    <w:name w:val="toc 1"/>
    <w:basedOn w:val="691"/>
    <w:next w:val="691"/>
    <w:uiPriority w:val="39"/>
    <w:unhideWhenUsed/>
    <w:pPr>
      <w:pBdr/>
      <w:spacing w:after="57"/>
      <w:ind/>
    </w:pPr>
  </w:style>
  <w:style w:type="paragraph" w:styleId="874">
    <w:name w:val="toc 2"/>
    <w:basedOn w:val="691"/>
    <w:next w:val="691"/>
    <w:uiPriority w:val="39"/>
    <w:unhideWhenUsed/>
    <w:pPr>
      <w:pBdr/>
      <w:spacing w:after="57"/>
      <w:ind w:left="283"/>
    </w:pPr>
  </w:style>
  <w:style w:type="paragraph" w:styleId="875">
    <w:name w:val="toc 3"/>
    <w:basedOn w:val="691"/>
    <w:next w:val="691"/>
    <w:uiPriority w:val="39"/>
    <w:unhideWhenUsed/>
    <w:pPr>
      <w:pBdr/>
      <w:spacing w:after="57"/>
      <w:ind w:left="567"/>
    </w:pPr>
  </w:style>
  <w:style w:type="paragraph" w:styleId="876">
    <w:name w:val="toc 4"/>
    <w:basedOn w:val="691"/>
    <w:next w:val="691"/>
    <w:uiPriority w:val="39"/>
    <w:unhideWhenUsed/>
    <w:pPr>
      <w:pBdr/>
      <w:spacing w:after="57"/>
      <w:ind w:left="850"/>
    </w:pPr>
  </w:style>
  <w:style w:type="paragraph" w:styleId="877">
    <w:name w:val="toc 5"/>
    <w:basedOn w:val="691"/>
    <w:next w:val="691"/>
    <w:uiPriority w:val="39"/>
    <w:unhideWhenUsed/>
    <w:pPr>
      <w:pBdr/>
      <w:spacing w:after="57"/>
      <w:ind w:left="1134"/>
    </w:pPr>
  </w:style>
  <w:style w:type="paragraph" w:styleId="878">
    <w:name w:val="toc 6"/>
    <w:basedOn w:val="691"/>
    <w:next w:val="691"/>
    <w:uiPriority w:val="39"/>
    <w:unhideWhenUsed/>
    <w:pPr>
      <w:pBdr/>
      <w:spacing w:after="57"/>
      <w:ind w:left="1417"/>
    </w:pPr>
  </w:style>
  <w:style w:type="paragraph" w:styleId="879">
    <w:name w:val="toc 7"/>
    <w:basedOn w:val="691"/>
    <w:next w:val="691"/>
    <w:uiPriority w:val="39"/>
    <w:unhideWhenUsed/>
    <w:pPr>
      <w:pBdr/>
      <w:spacing w:after="57"/>
      <w:ind w:left="1701"/>
    </w:pPr>
  </w:style>
  <w:style w:type="paragraph" w:styleId="880">
    <w:name w:val="toc 8"/>
    <w:basedOn w:val="691"/>
    <w:next w:val="691"/>
    <w:uiPriority w:val="39"/>
    <w:unhideWhenUsed/>
    <w:pPr>
      <w:pBdr/>
      <w:spacing w:after="57"/>
      <w:ind w:left="1984"/>
    </w:pPr>
  </w:style>
  <w:style w:type="paragraph" w:styleId="881">
    <w:name w:val="toc 9"/>
    <w:basedOn w:val="691"/>
    <w:next w:val="691"/>
    <w:uiPriority w:val="39"/>
    <w:unhideWhenUsed/>
    <w:pPr>
      <w:pBdr/>
      <w:spacing w:after="57"/>
      <w:ind w:left="2268"/>
    </w:pPr>
  </w:style>
  <w:style w:type="paragraph" w:styleId="882">
    <w:name w:val="TOC Heading"/>
    <w:uiPriority w:val="39"/>
    <w:unhideWhenUsed/>
    <w:pPr>
      <w:pBdr/>
      <w:spacing/>
      <w:ind/>
    </w:pPr>
  </w:style>
  <w:style w:type="paragraph" w:styleId="883">
    <w:name w:val="table of figures"/>
    <w:basedOn w:val="691"/>
    <w:next w:val="691"/>
    <w:uiPriority w:val="99"/>
    <w:unhideWhenUsed/>
    <w:pPr>
      <w:pBdr/>
      <w:spacing w:after="0"/>
      <w:ind/>
    </w:pPr>
  </w:style>
  <w:style w:type="table" w:styleId="884">
    <w:name w:val="Table Grid"/>
    <w:basedOn w:val="702"/>
    <w:uiPriority w:val="3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85" w:customStyle="1">
    <w:name w:val="Default"/>
    <w:pPr>
      <w:pBdr/>
      <w:spacing w:after="0" w:line="240" w:lineRule="auto"/>
      <w:ind/>
    </w:pPr>
    <w:rPr>
      <w:rFonts w:ascii="EUAlbertina" w:hAnsi="EUAlbertina" w:cs="EUAlbertina"/>
      <w:color w:val="000000"/>
      <w:sz w:val="24"/>
      <w:szCs w:val="24"/>
    </w:rPr>
  </w:style>
  <w:style w:type="paragraph" w:styleId="886">
    <w:name w:val="List Paragraph"/>
    <w:basedOn w:val="691"/>
    <w:link w:val="898"/>
    <w:uiPriority w:val="34"/>
    <w:qFormat/>
    <w:pPr>
      <w:pBdr/>
      <w:spacing/>
      <w:ind w:left="720"/>
      <w:contextualSpacing w:val="true"/>
    </w:pPr>
  </w:style>
  <w:style w:type="paragraph" w:styleId="887">
    <w:name w:val="Header"/>
    <w:basedOn w:val="691"/>
    <w:link w:val="888"/>
    <w:uiPriority w:val="99"/>
    <w:unhideWhenUsed/>
    <w:pPr>
      <w:pBdr/>
      <w:tabs>
        <w:tab w:val="center" w:leader="none" w:pos="4536"/>
        <w:tab w:val="right" w:leader="none" w:pos="9072"/>
      </w:tabs>
      <w:spacing w:after="0" w:line="240" w:lineRule="auto"/>
      <w:ind/>
    </w:pPr>
  </w:style>
  <w:style w:type="character" w:styleId="888" w:customStyle="1">
    <w:name w:val="Záhlaví Char"/>
    <w:basedOn w:val="701"/>
    <w:link w:val="887"/>
    <w:uiPriority w:val="99"/>
    <w:pPr>
      <w:pBdr/>
      <w:spacing/>
      <w:ind/>
    </w:pPr>
  </w:style>
  <w:style w:type="paragraph" w:styleId="889">
    <w:name w:val="Footer"/>
    <w:basedOn w:val="691"/>
    <w:link w:val="890"/>
    <w:uiPriority w:val="99"/>
    <w:unhideWhenUsed/>
    <w:pPr>
      <w:pBdr/>
      <w:tabs>
        <w:tab w:val="center" w:leader="none" w:pos="4536"/>
        <w:tab w:val="right" w:leader="none" w:pos="9072"/>
      </w:tabs>
      <w:spacing w:after="0" w:line="240" w:lineRule="auto"/>
      <w:ind/>
    </w:pPr>
  </w:style>
  <w:style w:type="character" w:styleId="890" w:customStyle="1">
    <w:name w:val="Zápatí Char"/>
    <w:basedOn w:val="701"/>
    <w:link w:val="889"/>
    <w:uiPriority w:val="99"/>
    <w:pPr>
      <w:pBdr/>
      <w:spacing/>
      <w:ind/>
    </w:pPr>
  </w:style>
  <w:style w:type="paragraph" w:styleId="891">
    <w:name w:val="annotation text"/>
    <w:basedOn w:val="691"/>
    <w:link w:val="892"/>
    <w:uiPriority w:val="99"/>
    <w:semiHidden/>
    <w:unhideWhenUsed/>
    <w:pPr>
      <w:pBdr/>
      <w:spacing w:line="240" w:lineRule="auto"/>
      <w:ind/>
    </w:pPr>
    <w:rPr>
      <w:sz w:val="20"/>
      <w:szCs w:val="20"/>
    </w:rPr>
  </w:style>
  <w:style w:type="character" w:styleId="892" w:customStyle="1">
    <w:name w:val="Text komentáře Char"/>
    <w:basedOn w:val="701"/>
    <w:link w:val="891"/>
    <w:uiPriority w:val="99"/>
    <w:semiHidden/>
    <w:pPr>
      <w:pBdr/>
      <w:spacing/>
      <w:ind/>
    </w:pPr>
    <w:rPr>
      <w:sz w:val="20"/>
      <w:szCs w:val="20"/>
    </w:rPr>
  </w:style>
  <w:style w:type="character" w:styleId="893">
    <w:name w:val="annotation reference"/>
    <w:basedOn w:val="701"/>
    <w:uiPriority w:val="99"/>
    <w:semiHidden/>
    <w:unhideWhenUsed/>
    <w:pPr>
      <w:pBdr/>
      <w:spacing/>
      <w:ind/>
    </w:pPr>
    <w:rPr>
      <w:sz w:val="16"/>
      <w:szCs w:val="16"/>
    </w:rPr>
  </w:style>
  <w:style w:type="paragraph" w:styleId="894">
    <w:name w:val="Balloon Text"/>
    <w:basedOn w:val="691"/>
    <w:link w:val="895"/>
    <w:uiPriority w:val="99"/>
    <w:semiHidden/>
    <w:unhideWhenUsed/>
    <w:pPr>
      <w:pBdr/>
      <w:spacing w:after="0" w:line="240" w:lineRule="auto"/>
      <w:ind/>
    </w:pPr>
    <w:rPr>
      <w:rFonts w:ascii="Segoe UI" w:hAnsi="Segoe UI" w:cs="Segoe UI"/>
      <w:sz w:val="18"/>
      <w:szCs w:val="18"/>
    </w:rPr>
  </w:style>
  <w:style w:type="character" w:styleId="895" w:customStyle="1">
    <w:name w:val="Text bubliny Char"/>
    <w:basedOn w:val="701"/>
    <w:link w:val="894"/>
    <w:uiPriority w:val="99"/>
    <w:semiHidden/>
    <w:pPr>
      <w:pBdr/>
      <w:spacing/>
      <w:ind/>
    </w:pPr>
    <w:rPr>
      <w:rFonts w:ascii="Segoe UI" w:hAnsi="Segoe UI" w:cs="Segoe UI"/>
      <w:sz w:val="18"/>
      <w:szCs w:val="18"/>
    </w:rPr>
  </w:style>
  <w:style w:type="paragraph" w:styleId="896" w:customStyle="1">
    <w:name w:val="Normální 10"/>
    <w:link w:val="897"/>
    <w:pPr>
      <w:pBdr/>
      <w:spacing w:after="0" w:before="100" w:line="276" w:lineRule="auto"/>
      <w:ind/>
      <w:jc w:val="both"/>
    </w:pPr>
    <w:rPr>
      <w:rFonts w:ascii="Arial" w:hAnsi="Arial" w:eastAsia="Times New Roman" w:cs="Times New Roman"/>
      <w:sz w:val="20"/>
      <w:szCs w:val="20"/>
      <w:lang w:eastAsia="cs-CZ"/>
    </w:rPr>
  </w:style>
  <w:style w:type="character" w:styleId="897" w:customStyle="1">
    <w:name w:val="Normální 10 Char"/>
    <w:link w:val="896"/>
    <w:pPr>
      <w:pBdr/>
      <w:spacing/>
      <w:ind/>
    </w:pPr>
    <w:rPr>
      <w:rFonts w:ascii="Arial" w:hAnsi="Arial" w:eastAsia="Times New Roman" w:cs="Times New Roman"/>
      <w:sz w:val="20"/>
      <w:szCs w:val="20"/>
      <w:lang w:eastAsia="cs-CZ"/>
    </w:rPr>
  </w:style>
  <w:style w:type="character" w:styleId="898" w:customStyle="1">
    <w:name w:val="Odstavec se seznamem Char"/>
    <w:link w:val="886"/>
    <w:uiPriority w:val="34"/>
    <w:qFormat/>
    <w:pPr>
      <w:pBdr/>
      <w:spacing/>
      <w:ind/>
    </w:pPr>
  </w:style>
  <w:style w:type="character" w:styleId="899">
    <w:name w:val="Strong"/>
    <w:basedOn w:val="701"/>
    <w:uiPriority w:val="22"/>
    <w:qFormat/>
    <w:pPr>
      <w:pBdr/>
      <w:spacing/>
      <w:ind/>
    </w:pPr>
    <w:rPr>
      <w:b/>
      <w:b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Hanousková Beáta</dc:creator>
  <cp:keywords/>
  <dc:description/>
  <cp:lastModifiedBy>Hanousková Beáta, Ing.</cp:lastModifiedBy>
  <cp:revision>18</cp:revision>
  <dcterms:created xsi:type="dcterms:W3CDTF">2024-04-08T15:11:00Z</dcterms:created>
  <dcterms:modified xsi:type="dcterms:W3CDTF">2024-07-22T15:07:01Z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b90e34435e8d7c8fbc34258db2f539de93a207950c62357eeeef6e760cb1b800</vt:lpwstr>
  </property>
</Properties>
</file>