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1602BF" w:rsidRPr="00FA1673" w:rsidP="00C22504" w14:paraId="79344E4A" w14:textId="757CA7D3">
      <w:pPr>
        <w:jc w:val="center"/>
        <w:rPr>
          <w:rFonts w:asciiTheme="minorHAnsi" w:hAnsiTheme="minorHAnsi" w:cstheme="minorHAnsi"/>
          <w:sz w:val="28"/>
          <w:szCs w:val="28"/>
        </w:rPr>
      </w:pPr>
      <w:r w:rsidRPr="00FA1673">
        <w:rPr>
          <w:rFonts w:asciiTheme="minorHAnsi" w:hAnsiTheme="minorHAnsi" w:cstheme="minorHAnsi"/>
          <w:b/>
          <w:bCs/>
          <w:sz w:val="28"/>
          <w:szCs w:val="28"/>
        </w:rPr>
        <w:t>Čestn</w:t>
      </w:r>
      <w:r w:rsidRPr="00FA1673" w:rsidR="00A50CAC">
        <w:rPr>
          <w:rFonts w:asciiTheme="minorHAnsi" w:hAnsiTheme="minorHAnsi" w:cstheme="minorHAnsi"/>
          <w:b/>
          <w:bCs/>
          <w:sz w:val="28"/>
          <w:szCs w:val="28"/>
        </w:rPr>
        <w:t>é</w:t>
      </w:r>
      <w:r w:rsidRPr="00FA1673" w:rsidR="00255B7A">
        <w:rPr>
          <w:rFonts w:asciiTheme="minorHAnsi" w:hAnsiTheme="minorHAnsi" w:cstheme="minorHAnsi"/>
          <w:b/>
          <w:bCs/>
          <w:sz w:val="28"/>
          <w:szCs w:val="28"/>
        </w:rPr>
        <w:t xml:space="preserve"> prohlášení žadatele</w:t>
      </w:r>
      <w:r w:rsidRPr="00FA1673" w:rsidR="00FD30E3">
        <w:rPr>
          <w:rFonts w:asciiTheme="minorHAnsi" w:hAnsiTheme="minorHAnsi" w:cstheme="minorHAnsi"/>
          <w:b/>
          <w:bCs/>
          <w:sz w:val="28"/>
          <w:szCs w:val="28"/>
        </w:rPr>
        <w:t>:</w:t>
      </w:r>
    </w:p>
    <w:p w:rsidR="00255B7A" w:rsidRPr="00FA1673" w:rsidP="00FD30E3" w14:paraId="66AC76AD" w14:textId="2627B561">
      <w:pPr>
        <w:pStyle w:val="ListParagraph"/>
        <w:numPr>
          <w:ilvl w:val="0"/>
          <w:numId w:val="3"/>
        </w:numPr>
        <w:rPr>
          <w:rFonts w:asciiTheme="minorHAnsi" w:hAnsiTheme="minorHAnsi" w:cstheme="minorHAnsi"/>
          <w:b/>
          <w:bCs/>
          <w:sz w:val="22"/>
          <w:szCs w:val="22"/>
          <w:u w:val="single"/>
        </w:rPr>
      </w:pPr>
      <w:r w:rsidRPr="00FA1673">
        <w:rPr>
          <w:rFonts w:asciiTheme="minorHAnsi" w:hAnsiTheme="minorHAnsi" w:cstheme="minorHAnsi"/>
          <w:b/>
          <w:bCs/>
          <w:sz w:val="22"/>
          <w:szCs w:val="22"/>
          <w:u w:val="single"/>
        </w:rPr>
        <w:t xml:space="preserve">o zahájení </w:t>
      </w:r>
      <w:r w:rsidRPr="00FA1673" w:rsidR="00FA5142">
        <w:rPr>
          <w:rFonts w:asciiTheme="minorHAnsi" w:hAnsiTheme="minorHAnsi" w:cstheme="minorHAnsi"/>
          <w:b/>
          <w:bCs/>
          <w:sz w:val="22"/>
          <w:szCs w:val="22"/>
          <w:u w:val="single"/>
        </w:rPr>
        <w:t>prací na p</w:t>
      </w:r>
      <w:r w:rsidRPr="00FA1673">
        <w:rPr>
          <w:rFonts w:asciiTheme="minorHAnsi" w:hAnsiTheme="minorHAnsi" w:cstheme="minorHAnsi"/>
          <w:b/>
          <w:bCs/>
          <w:sz w:val="22"/>
          <w:szCs w:val="22"/>
          <w:u w:val="single"/>
        </w:rPr>
        <w:t>r</w:t>
      </w:r>
      <w:r w:rsidRPr="00FA1673" w:rsidR="00FA5142">
        <w:rPr>
          <w:rFonts w:asciiTheme="minorHAnsi" w:hAnsiTheme="minorHAnsi" w:cstheme="minorHAnsi"/>
          <w:b/>
          <w:bCs/>
          <w:sz w:val="22"/>
          <w:szCs w:val="22"/>
          <w:u w:val="single"/>
        </w:rPr>
        <w:t>o</w:t>
      </w:r>
      <w:r w:rsidRPr="00FA1673">
        <w:rPr>
          <w:rFonts w:asciiTheme="minorHAnsi" w:hAnsiTheme="minorHAnsi" w:cstheme="minorHAnsi"/>
          <w:b/>
          <w:bCs/>
          <w:sz w:val="22"/>
          <w:szCs w:val="22"/>
          <w:u w:val="single"/>
        </w:rPr>
        <w:t xml:space="preserve">jektu až po dni předložení </w:t>
      </w:r>
      <w:r w:rsidR="00CA7D34">
        <w:rPr>
          <w:rFonts w:asciiTheme="minorHAnsi" w:hAnsiTheme="minorHAnsi" w:cstheme="minorHAnsi"/>
          <w:b/>
          <w:bCs/>
          <w:sz w:val="22"/>
          <w:szCs w:val="22"/>
          <w:u w:val="single"/>
        </w:rPr>
        <w:t>navrhovaného záměru</w:t>
      </w:r>
      <w:r w:rsidRPr="00FA1673">
        <w:rPr>
          <w:rFonts w:asciiTheme="minorHAnsi" w:hAnsiTheme="minorHAnsi" w:cstheme="minorHAnsi"/>
          <w:b/>
          <w:bCs/>
          <w:sz w:val="22"/>
          <w:szCs w:val="22"/>
          <w:u w:val="single"/>
        </w:rPr>
        <w:t xml:space="preserve"> </w:t>
      </w:r>
    </w:p>
    <w:p w:rsidR="00255B7A" w:rsidRPr="00FA1673" w:rsidP="00FD30E3" w14:paraId="125510E1" w14:textId="7DDC7251">
      <w:pPr>
        <w:pStyle w:val="ListParagraph"/>
        <w:numPr>
          <w:ilvl w:val="0"/>
          <w:numId w:val="3"/>
        </w:numPr>
        <w:rPr>
          <w:rFonts w:asciiTheme="minorHAnsi" w:hAnsiTheme="minorHAnsi" w:cstheme="minorHAnsi"/>
          <w:b/>
          <w:bCs/>
          <w:sz w:val="22"/>
          <w:szCs w:val="22"/>
          <w:u w:val="single"/>
        </w:rPr>
      </w:pPr>
      <w:r w:rsidRPr="00FA1673">
        <w:rPr>
          <w:rFonts w:asciiTheme="minorHAnsi" w:hAnsiTheme="minorHAnsi" w:cstheme="minorHAnsi"/>
          <w:b/>
          <w:bCs/>
          <w:sz w:val="22"/>
          <w:szCs w:val="22"/>
          <w:u w:val="single"/>
        </w:rPr>
        <w:t xml:space="preserve">o nenacházení </w:t>
      </w:r>
      <w:r w:rsidRPr="00FA1673" w:rsidR="00A50CAC">
        <w:rPr>
          <w:rFonts w:asciiTheme="minorHAnsi" w:hAnsiTheme="minorHAnsi" w:cstheme="minorHAnsi"/>
          <w:b/>
          <w:bCs/>
          <w:sz w:val="22"/>
          <w:szCs w:val="22"/>
          <w:u w:val="single"/>
        </w:rPr>
        <w:t xml:space="preserve">se </w:t>
      </w:r>
      <w:r w:rsidRPr="00FA1673">
        <w:rPr>
          <w:rFonts w:asciiTheme="minorHAnsi" w:hAnsiTheme="minorHAnsi" w:cstheme="minorHAnsi"/>
          <w:b/>
          <w:bCs/>
          <w:sz w:val="22"/>
          <w:szCs w:val="22"/>
          <w:u w:val="single"/>
        </w:rPr>
        <w:t>v</w:t>
      </w:r>
      <w:r w:rsidRPr="00FA1673" w:rsidR="00A50CAC">
        <w:rPr>
          <w:rFonts w:asciiTheme="minorHAnsi" w:hAnsiTheme="minorHAnsi" w:cstheme="minorHAnsi"/>
          <w:b/>
          <w:bCs/>
          <w:sz w:val="22"/>
          <w:szCs w:val="22"/>
          <w:u w:val="single"/>
        </w:rPr>
        <w:t> </w:t>
      </w:r>
      <w:r w:rsidRPr="00FA1673">
        <w:rPr>
          <w:rFonts w:asciiTheme="minorHAnsi" w:hAnsiTheme="minorHAnsi" w:cstheme="minorHAnsi"/>
          <w:b/>
          <w:bCs/>
          <w:sz w:val="22"/>
          <w:szCs w:val="22"/>
          <w:u w:val="single"/>
        </w:rPr>
        <w:t>obtížích</w:t>
      </w:r>
      <w:r w:rsidRPr="00FA1673" w:rsidR="00A50CAC">
        <w:rPr>
          <w:rFonts w:asciiTheme="minorHAnsi" w:hAnsiTheme="minorHAnsi" w:cstheme="minorHAnsi"/>
          <w:b/>
          <w:bCs/>
          <w:sz w:val="22"/>
          <w:szCs w:val="22"/>
          <w:u w:val="single"/>
        </w:rPr>
        <w:t xml:space="preserve">, </w:t>
      </w:r>
    </w:p>
    <w:p w:rsidR="00C22504" w:rsidRPr="00FA1673" w:rsidP="00C22504" w14:paraId="0D1A9799" w14:textId="3D4773AD">
      <w:pPr>
        <w:pStyle w:val="ListParagraph"/>
        <w:numPr>
          <w:ilvl w:val="0"/>
          <w:numId w:val="3"/>
        </w:numPr>
        <w:rPr>
          <w:rFonts w:asciiTheme="minorHAnsi" w:hAnsiTheme="minorHAnsi" w:cstheme="minorHAnsi"/>
          <w:b/>
          <w:bCs/>
          <w:sz w:val="22"/>
          <w:szCs w:val="22"/>
          <w:u w:val="single"/>
        </w:rPr>
      </w:pPr>
      <w:r w:rsidRPr="00FA1673">
        <w:rPr>
          <w:rFonts w:asciiTheme="minorHAnsi" w:hAnsiTheme="minorHAnsi" w:cstheme="minorHAnsi"/>
          <w:b/>
          <w:bCs/>
          <w:sz w:val="22"/>
          <w:szCs w:val="22"/>
          <w:u w:val="single"/>
        </w:rPr>
        <w:t xml:space="preserve">o nenacházení se v úpadku, </w:t>
      </w:r>
    </w:p>
    <w:p w:rsidR="001E26E3" w:rsidRPr="00FA1673" w:rsidP="00FD30E3" w14:paraId="64754298" w14:textId="792D8C69">
      <w:pPr>
        <w:pStyle w:val="ListParagraph"/>
        <w:numPr>
          <w:ilvl w:val="0"/>
          <w:numId w:val="3"/>
        </w:numPr>
        <w:rPr>
          <w:rFonts w:asciiTheme="minorHAnsi" w:hAnsiTheme="minorHAnsi" w:cstheme="minorHAnsi"/>
          <w:b/>
          <w:bCs/>
          <w:sz w:val="22"/>
          <w:szCs w:val="22"/>
          <w:u w:val="single"/>
        </w:rPr>
      </w:pPr>
      <w:r w:rsidRPr="00FA1673">
        <w:rPr>
          <w:rFonts w:asciiTheme="minorHAnsi" w:hAnsiTheme="minorHAnsi" w:cstheme="minorHAnsi"/>
          <w:b/>
          <w:bCs/>
          <w:sz w:val="22"/>
          <w:szCs w:val="22"/>
          <w:u w:val="single"/>
        </w:rPr>
        <w:t>o nepřijetí protiprávní podpory nebo podpory neslučitelné s vnitřním trhem,</w:t>
      </w:r>
    </w:p>
    <w:p w:rsidR="00C22504" w:rsidRPr="00FA1673" w:rsidP="00FD30E3" w14:paraId="63708CCE" w14:textId="5C65FF70">
      <w:pPr>
        <w:pStyle w:val="ListParagraph"/>
        <w:numPr>
          <w:ilvl w:val="0"/>
          <w:numId w:val="3"/>
        </w:numPr>
        <w:rPr>
          <w:rFonts w:asciiTheme="minorHAnsi" w:hAnsiTheme="minorHAnsi" w:cstheme="minorHAnsi"/>
          <w:b/>
          <w:bCs/>
          <w:sz w:val="22"/>
          <w:szCs w:val="22"/>
          <w:u w:val="single"/>
        </w:rPr>
      </w:pPr>
      <w:r w:rsidRPr="00FA1673">
        <w:rPr>
          <w:rFonts w:asciiTheme="minorHAnsi" w:hAnsiTheme="minorHAnsi" w:cstheme="minorHAnsi"/>
          <w:b/>
          <w:bCs/>
          <w:sz w:val="22"/>
          <w:szCs w:val="22"/>
          <w:u w:val="single"/>
        </w:rPr>
        <w:t>o ne</w:t>
      </w:r>
      <w:r w:rsidRPr="00FA1673" w:rsidR="008C48C8">
        <w:rPr>
          <w:rFonts w:asciiTheme="minorHAnsi" w:hAnsiTheme="minorHAnsi" w:cstheme="minorHAnsi"/>
          <w:b/>
          <w:bCs/>
          <w:sz w:val="22"/>
          <w:szCs w:val="22"/>
          <w:u w:val="single"/>
        </w:rPr>
        <w:t xml:space="preserve">realizaci </w:t>
      </w:r>
      <w:r w:rsidR="00CA7D34">
        <w:rPr>
          <w:rFonts w:asciiTheme="minorHAnsi" w:hAnsiTheme="minorHAnsi" w:cstheme="minorHAnsi"/>
          <w:b/>
          <w:bCs/>
          <w:sz w:val="22"/>
          <w:szCs w:val="22"/>
          <w:u w:val="single"/>
        </w:rPr>
        <w:t>navrhovaného záměru</w:t>
      </w:r>
      <w:r w:rsidRPr="00FA1673" w:rsidR="00CA7D34">
        <w:rPr>
          <w:rFonts w:asciiTheme="minorHAnsi" w:hAnsiTheme="minorHAnsi" w:cstheme="minorHAnsi"/>
          <w:b/>
          <w:bCs/>
          <w:sz w:val="22"/>
          <w:szCs w:val="22"/>
          <w:u w:val="single"/>
        </w:rPr>
        <w:t xml:space="preserve"> </w:t>
      </w:r>
      <w:r w:rsidRPr="00FA1673" w:rsidR="008C48C8">
        <w:rPr>
          <w:rFonts w:asciiTheme="minorHAnsi" w:hAnsiTheme="minorHAnsi" w:cstheme="minorHAnsi"/>
          <w:b/>
          <w:bCs/>
          <w:sz w:val="22"/>
          <w:szCs w:val="22"/>
          <w:u w:val="single"/>
        </w:rPr>
        <w:t>ve</w:t>
      </w:r>
      <w:r w:rsidRPr="00FA1673">
        <w:rPr>
          <w:rFonts w:asciiTheme="minorHAnsi" w:hAnsiTheme="minorHAnsi" w:cstheme="minorHAnsi"/>
          <w:b/>
          <w:bCs/>
          <w:sz w:val="22"/>
          <w:szCs w:val="22"/>
          <w:u w:val="single"/>
        </w:rPr>
        <w:t xml:space="preserve"> vyloučen</w:t>
      </w:r>
      <w:r w:rsidRPr="00FA1673" w:rsidR="008C48C8">
        <w:rPr>
          <w:rFonts w:asciiTheme="minorHAnsi" w:hAnsiTheme="minorHAnsi" w:cstheme="minorHAnsi"/>
          <w:b/>
          <w:bCs/>
          <w:sz w:val="22"/>
          <w:szCs w:val="22"/>
          <w:u w:val="single"/>
        </w:rPr>
        <w:t>ém</w:t>
      </w:r>
      <w:r w:rsidRPr="00FA1673">
        <w:rPr>
          <w:rFonts w:asciiTheme="minorHAnsi" w:hAnsiTheme="minorHAnsi" w:cstheme="minorHAnsi"/>
          <w:b/>
          <w:bCs/>
          <w:sz w:val="22"/>
          <w:szCs w:val="22"/>
          <w:u w:val="single"/>
        </w:rPr>
        <w:t xml:space="preserve"> odvětví,</w:t>
      </w:r>
    </w:p>
    <w:p w:rsidR="003101F8" w:rsidRPr="00FA1673" w:rsidP="00C22504" w14:paraId="71B86453" w14:textId="51805CAC">
      <w:pPr>
        <w:pStyle w:val="ListParagraph"/>
        <w:numPr>
          <w:ilvl w:val="0"/>
          <w:numId w:val="3"/>
        </w:numPr>
        <w:rPr>
          <w:rFonts w:asciiTheme="minorHAnsi" w:hAnsiTheme="minorHAnsi" w:cstheme="minorHAnsi"/>
          <w:b/>
          <w:bCs/>
          <w:sz w:val="22"/>
          <w:szCs w:val="22"/>
          <w:u w:val="single"/>
        </w:rPr>
      </w:pPr>
      <w:r w:rsidRPr="00FA1673">
        <w:rPr>
          <w:rFonts w:asciiTheme="minorHAnsi" w:hAnsiTheme="minorHAnsi" w:cstheme="minorHAnsi"/>
          <w:b/>
          <w:bCs/>
          <w:sz w:val="22"/>
          <w:szCs w:val="22"/>
          <w:u w:val="single"/>
        </w:rPr>
        <w:t xml:space="preserve">o </w:t>
      </w:r>
      <w:r w:rsidRPr="00FA1673" w:rsidR="00A12004">
        <w:rPr>
          <w:rFonts w:asciiTheme="minorHAnsi" w:hAnsiTheme="minorHAnsi" w:cstheme="minorHAnsi"/>
          <w:b/>
          <w:bCs/>
          <w:sz w:val="22"/>
          <w:szCs w:val="22"/>
          <w:u w:val="single"/>
        </w:rPr>
        <w:t>nepřemístění</w:t>
      </w:r>
      <w:r w:rsidRPr="00FA1673">
        <w:rPr>
          <w:rFonts w:asciiTheme="minorHAnsi" w:hAnsiTheme="minorHAnsi" w:cstheme="minorHAnsi"/>
          <w:b/>
          <w:bCs/>
          <w:sz w:val="22"/>
          <w:szCs w:val="22"/>
          <w:u w:val="single"/>
        </w:rPr>
        <w:t xml:space="preserve"> stejné nebo podobné činnosti</w:t>
      </w:r>
      <w:r w:rsidRPr="00FA1673" w:rsidR="00D9209C">
        <w:rPr>
          <w:rFonts w:asciiTheme="minorHAnsi" w:hAnsiTheme="minorHAnsi" w:cstheme="minorHAnsi"/>
          <w:b/>
          <w:bCs/>
          <w:sz w:val="22"/>
          <w:szCs w:val="22"/>
          <w:u w:val="single"/>
        </w:rPr>
        <w:t>,</w:t>
      </w:r>
    </w:p>
    <w:p w:rsidR="00496087" w:rsidRPr="00FA1673" w:rsidP="007E6C01" w14:paraId="76A14F41" w14:textId="447011B8">
      <w:pPr>
        <w:pStyle w:val="ListParagraph"/>
        <w:numPr>
          <w:ilvl w:val="0"/>
          <w:numId w:val="3"/>
        </w:numPr>
        <w:rPr>
          <w:rFonts w:asciiTheme="minorHAnsi" w:hAnsiTheme="minorHAnsi" w:cstheme="minorHAnsi"/>
          <w:b/>
          <w:bCs/>
          <w:sz w:val="22"/>
          <w:szCs w:val="22"/>
          <w:u w:val="single"/>
        </w:rPr>
      </w:pPr>
      <w:r w:rsidRPr="00FA1673">
        <w:rPr>
          <w:rFonts w:asciiTheme="minorHAnsi" w:hAnsiTheme="minorHAnsi" w:cstheme="minorHAnsi"/>
          <w:b/>
          <w:bCs/>
          <w:sz w:val="22"/>
          <w:szCs w:val="22"/>
          <w:u w:val="single"/>
        </w:rPr>
        <w:t xml:space="preserve">o </w:t>
      </w:r>
      <w:r w:rsidRPr="00FA1673" w:rsidR="00BE0819">
        <w:rPr>
          <w:rFonts w:asciiTheme="minorHAnsi" w:hAnsiTheme="minorHAnsi" w:cstheme="minorHAnsi"/>
          <w:b/>
          <w:bCs/>
          <w:sz w:val="22"/>
          <w:szCs w:val="22"/>
          <w:u w:val="single"/>
        </w:rPr>
        <w:t xml:space="preserve">neexistenci </w:t>
      </w:r>
      <w:r w:rsidRPr="00FA1673">
        <w:rPr>
          <w:rFonts w:asciiTheme="minorHAnsi" w:hAnsiTheme="minorHAnsi" w:cstheme="minorHAnsi"/>
          <w:b/>
          <w:bCs/>
          <w:sz w:val="22"/>
          <w:szCs w:val="22"/>
          <w:u w:val="single"/>
        </w:rPr>
        <w:t>střetu zájmů</w:t>
      </w:r>
      <w:r w:rsidRPr="00FA1673" w:rsidR="00C22504">
        <w:rPr>
          <w:rFonts w:asciiTheme="minorHAnsi" w:hAnsiTheme="minorHAnsi" w:cstheme="minorHAnsi"/>
          <w:b/>
          <w:bCs/>
          <w:sz w:val="22"/>
          <w:szCs w:val="22"/>
          <w:u w:val="single"/>
        </w:rPr>
        <w:t>,</w:t>
      </w:r>
    </w:p>
    <w:p w:rsidR="00346502" w:rsidRPr="00FA1673" w:rsidP="007E6C01" w14:paraId="5842B8BD" w14:textId="2F9D4267">
      <w:pPr>
        <w:pStyle w:val="ListParagraph"/>
        <w:numPr>
          <w:ilvl w:val="0"/>
          <w:numId w:val="3"/>
        </w:numPr>
        <w:rPr>
          <w:rFonts w:asciiTheme="minorHAnsi" w:hAnsiTheme="minorHAnsi" w:cstheme="minorHAnsi"/>
          <w:b/>
          <w:bCs/>
          <w:sz w:val="22"/>
          <w:szCs w:val="22"/>
          <w:u w:val="single"/>
        </w:rPr>
      </w:pPr>
      <w:r w:rsidRPr="00FA1673">
        <w:rPr>
          <w:rFonts w:asciiTheme="minorHAnsi" w:hAnsiTheme="minorHAnsi" w:cstheme="minorHAnsi"/>
          <w:b/>
          <w:bCs/>
          <w:sz w:val="22"/>
          <w:szCs w:val="22"/>
          <w:u w:val="single"/>
        </w:rPr>
        <w:t>o neexistencí</w:t>
      </w:r>
      <w:r w:rsidRPr="00FA1673" w:rsidR="00201A7F">
        <w:rPr>
          <w:rFonts w:asciiTheme="minorHAnsi" w:hAnsiTheme="minorHAnsi" w:cstheme="minorHAnsi"/>
          <w:b/>
          <w:bCs/>
          <w:sz w:val="22"/>
          <w:szCs w:val="22"/>
          <w:u w:val="single"/>
        </w:rPr>
        <w:t xml:space="preserve"> vztahu k</w:t>
      </w:r>
      <w:r w:rsidRPr="00FA1673">
        <w:rPr>
          <w:rFonts w:asciiTheme="minorHAnsi" w:hAnsiTheme="minorHAnsi" w:cstheme="minorHAnsi"/>
          <w:b/>
          <w:bCs/>
          <w:sz w:val="22"/>
          <w:szCs w:val="22"/>
          <w:u w:val="single"/>
        </w:rPr>
        <w:t xml:space="preserve"> sankcí</w:t>
      </w:r>
      <w:r w:rsidRPr="00FA1673" w:rsidR="00201A7F">
        <w:rPr>
          <w:rFonts w:asciiTheme="minorHAnsi" w:hAnsiTheme="minorHAnsi" w:cstheme="minorHAnsi"/>
          <w:b/>
          <w:bCs/>
          <w:sz w:val="22"/>
          <w:szCs w:val="22"/>
          <w:u w:val="single"/>
        </w:rPr>
        <w:t>m</w:t>
      </w:r>
      <w:r w:rsidRPr="00FA1673">
        <w:rPr>
          <w:rFonts w:asciiTheme="minorHAnsi" w:hAnsiTheme="minorHAnsi" w:cstheme="minorHAnsi"/>
          <w:b/>
          <w:bCs/>
          <w:sz w:val="22"/>
          <w:szCs w:val="22"/>
          <w:u w:val="single"/>
        </w:rPr>
        <w:t xml:space="preserve"> přijetých Evropskou unií</w:t>
      </w:r>
    </w:p>
    <w:p w:rsidR="003101F8" w:rsidRPr="00FA1673" w:rsidP="003101F8" w14:paraId="3D42E602" w14:textId="77777777">
      <w:pPr>
        <w:rPr>
          <w:rFonts w:asciiTheme="minorHAnsi" w:hAnsiTheme="minorHAnsi" w:cstheme="minorHAnsi"/>
          <w:sz w:val="22"/>
          <w:szCs w:val="22"/>
          <w:u w:val="single"/>
        </w:rPr>
      </w:pPr>
    </w:p>
    <w:p w:rsidR="006A3D0A" w:rsidRPr="00FA1673" w:rsidP="003101F8" w14:paraId="4A7E9D43" w14:textId="5231BE9C">
      <w:pPr>
        <w:pStyle w:val="BodyText"/>
        <w:rPr>
          <w:rFonts w:asciiTheme="minorHAnsi" w:hAnsiTheme="minorHAnsi" w:cstheme="minorHAnsi"/>
          <w:sz w:val="22"/>
          <w:szCs w:val="22"/>
        </w:rPr>
      </w:pPr>
      <w:r w:rsidRPr="00FA1673">
        <w:rPr>
          <w:rFonts w:asciiTheme="minorHAnsi" w:hAnsiTheme="minorHAnsi" w:cstheme="minorHAnsi"/>
          <w:sz w:val="22"/>
          <w:szCs w:val="22"/>
        </w:rPr>
        <w:t xml:space="preserve">Já, /jméno a příjmení/, </w:t>
      </w:r>
      <w:r w:rsidRPr="00FA1673" w:rsidR="00340974">
        <w:rPr>
          <w:rFonts w:asciiTheme="minorHAnsi" w:hAnsiTheme="minorHAnsi" w:cstheme="minorHAnsi"/>
          <w:sz w:val="22"/>
          <w:szCs w:val="22"/>
        </w:rPr>
        <w:t>narozený dne /datum narození/</w:t>
      </w:r>
      <w:r w:rsidRPr="00FA1673">
        <w:rPr>
          <w:rFonts w:asciiTheme="minorHAnsi" w:hAnsiTheme="minorHAnsi" w:cstheme="minorHAnsi"/>
          <w:sz w:val="22"/>
          <w:szCs w:val="22"/>
        </w:rPr>
        <w:t xml:space="preserve">, jakožto statutární orgán společnosti /společnost </w:t>
      </w:r>
      <w:r w:rsidR="0037424F">
        <w:rPr>
          <w:rFonts w:asciiTheme="minorHAnsi" w:hAnsiTheme="minorHAnsi" w:cstheme="minorHAnsi"/>
          <w:sz w:val="22"/>
          <w:szCs w:val="22"/>
        </w:rPr>
        <w:t>ž</w:t>
      </w:r>
      <w:r w:rsidRPr="00FA1673">
        <w:rPr>
          <w:rFonts w:asciiTheme="minorHAnsi" w:hAnsiTheme="minorHAnsi" w:cstheme="minorHAnsi"/>
          <w:sz w:val="22"/>
          <w:szCs w:val="22"/>
        </w:rPr>
        <w:t>adatele/, identifikační číslo /číslo/ se sídlem /s</w:t>
      </w:r>
      <w:r w:rsidRPr="00FA1673">
        <w:rPr>
          <w:rFonts w:asciiTheme="minorHAnsi" w:hAnsiTheme="minorHAnsi" w:cstheme="minorHAnsi"/>
          <w:sz w:val="22"/>
          <w:szCs w:val="22"/>
        </w:rPr>
        <w:t>ídlo/</w:t>
      </w:r>
      <w:r w:rsidRPr="00FA1673" w:rsidR="00471970">
        <w:rPr>
          <w:rFonts w:asciiTheme="minorHAnsi" w:hAnsiTheme="minorHAnsi" w:cstheme="minorHAnsi"/>
          <w:sz w:val="22"/>
          <w:szCs w:val="22"/>
        </w:rPr>
        <w:t xml:space="preserve"> (dále „</w:t>
      </w:r>
      <w:r w:rsidR="00CA7D34">
        <w:rPr>
          <w:rFonts w:asciiTheme="minorHAnsi" w:hAnsiTheme="minorHAnsi" w:cstheme="minorHAnsi"/>
          <w:sz w:val="22"/>
          <w:szCs w:val="22"/>
        </w:rPr>
        <w:t>žadatel</w:t>
      </w:r>
      <w:r w:rsidRPr="00FA1673" w:rsidR="00471970">
        <w:rPr>
          <w:rFonts w:asciiTheme="minorHAnsi" w:hAnsiTheme="minorHAnsi" w:cstheme="minorHAnsi"/>
          <w:sz w:val="22"/>
          <w:szCs w:val="22"/>
        </w:rPr>
        <w:t>“)</w:t>
      </w:r>
      <w:r w:rsidRPr="00FA1673">
        <w:rPr>
          <w:rFonts w:asciiTheme="minorHAnsi" w:hAnsiTheme="minorHAnsi" w:cstheme="minorHAnsi"/>
          <w:sz w:val="22"/>
          <w:szCs w:val="22"/>
        </w:rPr>
        <w:t xml:space="preserve">, tímto čestně prohlašuji, </w:t>
      </w:r>
      <w:r w:rsidRPr="00FA1673">
        <w:rPr>
          <w:rFonts w:asciiTheme="minorHAnsi" w:hAnsiTheme="minorHAnsi" w:cstheme="minorHAnsi"/>
          <w:sz w:val="22"/>
          <w:szCs w:val="22"/>
        </w:rPr>
        <w:t>že</w:t>
      </w:r>
      <w:r w:rsidRPr="00FA1673" w:rsidR="00075AA4">
        <w:rPr>
          <w:rFonts w:asciiTheme="minorHAnsi" w:hAnsiTheme="minorHAnsi" w:cstheme="minorHAnsi"/>
          <w:sz w:val="22"/>
          <w:szCs w:val="22"/>
        </w:rPr>
        <w:t>:</w:t>
      </w:r>
    </w:p>
    <w:p w:rsidR="006A3D0A" w:rsidRPr="00FA1673" w:rsidP="003101F8" w14:paraId="7663F891" w14:textId="77777777">
      <w:pPr>
        <w:pStyle w:val="BodyText"/>
        <w:rPr>
          <w:rFonts w:asciiTheme="minorHAnsi" w:hAnsiTheme="minorHAnsi" w:cstheme="minorHAnsi"/>
          <w:sz w:val="22"/>
          <w:szCs w:val="22"/>
        </w:rPr>
      </w:pPr>
      <w:r w:rsidRPr="00FA1673">
        <w:rPr>
          <w:rFonts w:asciiTheme="minorHAnsi" w:hAnsiTheme="minorHAnsi" w:cstheme="minorHAnsi"/>
          <w:sz w:val="22"/>
          <w:szCs w:val="22"/>
        </w:rPr>
        <w:t xml:space="preserve"> </w:t>
      </w:r>
    </w:p>
    <w:p w:rsidR="00C22504" w:rsidP="00F442B5" w14:paraId="4A8AC8E1" w14:textId="15E87DEF">
      <w:pPr>
        <w:pStyle w:val="BodyText"/>
        <w:numPr>
          <w:ilvl w:val="0"/>
          <w:numId w:val="1"/>
        </w:numPr>
        <w:rPr>
          <w:rFonts w:asciiTheme="minorHAnsi" w:hAnsiTheme="minorHAnsi" w:cstheme="minorHAnsi"/>
          <w:sz w:val="22"/>
          <w:szCs w:val="22"/>
        </w:rPr>
      </w:pPr>
      <w:r w:rsidRPr="00FA1673">
        <w:rPr>
          <w:rFonts w:asciiTheme="minorHAnsi" w:hAnsiTheme="minorHAnsi" w:cstheme="minorHAnsi"/>
          <w:sz w:val="22"/>
          <w:szCs w:val="22"/>
        </w:rPr>
        <w:t>stavební práce, pořizování dlouhodobéh</w:t>
      </w:r>
      <w:r w:rsidRPr="00FA1673" w:rsidR="004772CC">
        <w:rPr>
          <w:rFonts w:asciiTheme="minorHAnsi" w:hAnsiTheme="minorHAnsi" w:cstheme="minorHAnsi"/>
          <w:sz w:val="22"/>
          <w:szCs w:val="22"/>
        </w:rPr>
        <w:t>o hmotného a nehmotného majetku, s výjimkou pořizování pozemků a s výjimkou pořizování dokumentace potřebné pro realizaci</w:t>
      </w:r>
      <w:r w:rsidR="00CA7D34">
        <w:rPr>
          <w:rFonts w:asciiTheme="minorHAnsi" w:hAnsiTheme="minorHAnsi" w:cstheme="minorHAnsi"/>
          <w:sz w:val="22"/>
          <w:szCs w:val="22"/>
        </w:rPr>
        <w:t xml:space="preserve"> projektu</w:t>
      </w:r>
      <w:r w:rsidRPr="00FA1673">
        <w:rPr>
          <w:rFonts w:asciiTheme="minorHAnsi" w:hAnsiTheme="minorHAnsi" w:cstheme="minorHAnsi"/>
          <w:sz w:val="22"/>
          <w:szCs w:val="22"/>
        </w:rPr>
        <w:t xml:space="preserve">, nebo učinění právního </w:t>
      </w:r>
      <w:r w:rsidRPr="00FA1673" w:rsidR="004772CC">
        <w:rPr>
          <w:rFonts w:asciiTheme="minorHAnsi" w:hAnsiTheme="minorHAnsi" w:cstheme="minorHAnsi"/>
          <w:sz w:val="22"/>
          <w:szCs w:val="22"/>
        </w:rPr>
        <w:t>jednání</w:t>
      </w:r>
      <w:r w:rsidRPr="00FA1673">
        <w:rPr>
          <w:rFonts w:asciiTheme="minorHAnsi" w:hAnsiTheme="minorHAnsi" w:cstheme="minorHAnsi"/>
          <w:sz w:val="22"/>
          <w:szCs w:val="22"/>
        </w:rPr>
        <w:t xml:space="preserve"> zavazujícího k pořízení strojního zařízení v rámci </w:t>
      </w:r>
      <w:r w:rsidR="00CA7D34">
        <w:rPr>
          <w:rFonts w:asciiTheme="minorHAnsi" w:hAnsiTheme="minorHAnsi" w:cstheme="minorHAnsi"/>
          <w:sz w:val="22"/>
          <w:szCs w:val="22"/>
        </w:rPr>
        <w:t>projektu</w:t>
      </w:r>
      <w:r w:rsidRPr="00FA1673">
        <w:rPr>
          <w:rFonts w:asciiTheme="minorHAnsi" w:hAnsiTheme="minorHAnsi" w:cstheme="minorHAnsi"/>
          <w:sz w:val="22"/>
          <w:szCs w:val="22"/>
        </w:rPr>
        <w:t>, kter</w:t>
      </w:r>
      <w:r w:rsidR="00CA7D34">
        <w:rPr>
          <w:rFonts w:asciiTheme="minorHAnsi" w:hAnsiTheme="minorHAnsi" w:cstheme="minorHAnsi"/>
          <w:sz w:val="22"/>
          <w:szCs w:val="22"/>
        </w:rPr>
        <w:t>ý</w:t>
      </w:r>
      <w:r w:rsidRPr="00FA1673">
        <w:rPr>
          <w:rFonts w:asciiTheme="minorHAnsi" w:hAnsiTheme="minorHAnsi" w:cstheme="minorHAnsi"/>
          <w:sz w:val="22"/>
          <w:szCs w:val="22"/>
        </w:rPr>
        <w:t xml:space="preserve"> je předmětem záměru získat </w:t>
      </w:r>
      <w:r w:rsidRPr="00FA1673">
        <w:rPr>
          <w:rFonts w:asciiTheme="minorHAnsi" w:hAnsiTheme="minorHAnsi" w:cstheme="minorHAnsi"/>
          <w:sz w:val="22"/>
          <w:szCs w:val="22"/>
        </w:rPr>
        <w:t>veřejnou podporu</w:t>
      </w:r>
      <w:r w:rsidRPr="00FA1673">
        <w:rPr>
          <w:rFonts w:asciiTheme="minorHAnsi" w:hAnsiTheme="minorHAnsi" w:cstheme="minorHAnsi"/>
          <w:sz w:val="22"/>
          <w:szCs w:val="22"/>
        </w:rPr>
        <w:t xml:space="preserve">, </w:t>
      </w:r>
      <w:r w:rsidRPr="00FA1673" w:rsidR="00202822">
        <w:rPr>
          <w:rFonts w:asciiTheme="minorHAnsi" w:hAnsiTheme="minorHAnsi" w:cstheme="minorHAnsi"/>
          <w:sz w:val="22"/>
          <w:szCs w:val="22"/>
        </w:rPr>
        <w:t xml:space="preserve">budou </w:t>
      </w:r>
      <w:r w:rsidRPr="00FA1673">
        <w:rPr>
          <w:rFonts w:asciiTheme="minorHAnsi" w:hAnsiTheme="minorHAnsi" w:cstheme="minorHAnsi"/>
          <w:sz w:val="22"/>
          <w:szCs w:val="22"/>
        </w:rPr>
        <w:t xml:space="preserve">zahájeny až po dni </w:t>
      </w:r>
      <w:r w:rsidRPr="00FA1673" w:rsidR="004772CC">
        <w:rPr>
          <w:rFonts w:asciiTheme="minorHAnsi" w:hAnsiTheme="minorHAnsi" w:cstheme="minorHAnsi"/>
          <w:sz w:val="22"/>
          <w:szCs w:val="22"/>
        </w:rPr>
        <w:t xml:space="preserve">předložení </w:t>
      </w:r>
      <w:r w:rsidR="00CA7D34">
        <w:rPr>
          <w:rFonts w:asciiTheme="minorHAnsi" w:hAnsiTheme="minorHAnsi" w:cstheme="minorHAnsi"/>
          <w:sz w:val="22"/>
          <w:szCs w:val="22"/>
        </w:rPr>
        <w:t>žádosti o podporu poskytovateli</w:t>
      </w:r>
      <w:r w:rsidRPr="00FA1673" w:rsidR="00134B59">
        <w:rPr>
          <w:rFonts w:asciiTheme="minorHAnsi" w:hAnsiTheme="minorHAnsi" w:cstheme="minorHAnsi"/>
          <w:sz w:val="22"/>
          <w:szCs w:val="22"/>
        </w:rPr>
        <w:t>;</w:t>
      </w:r>
    </w:p>
    <w:p w:rsidR="00F442B5" w:rsidRPr="00F442B5" w:rsidP="00F442B5" w14:paraId="4737308C" w14:textId="77777777">
      <w:pPr>
        <w:pStyle w:val="BodyText"/>
        <w:ind w:left="360" w:firstLine="0"/>
        <w:rPr>
          <w:rFonts w:asciiTheme="minorHAnsi" w:hAnsiTheme="minorHAnsi" w:cstheme="minorHAnsi"/>
          <w:sz w:val="22"/>
          <w:szCs w:val="22"/>
        </w:rPr>
      </w:pPr>
    </w:p>
    <w:p w:rsidR="00C22504" w:rsidRPr="00FA1673" w:rsidP="00C22504" w14:paraId="70958B49" w14:textId="1333E4D6">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žadatel</w:t>
      </w:r>
      <w:r w:rsidRPr="00FA1673">
        <w:rPr>
          <w:rFonts w:asciiTheme="minorHAnsi" w:hAnsiTheme="minorHAnsi" w:cstheme="minorHAnsi"/>
          <w:sz w:val="22"/>
          <w:szCs w:val="22"/>
        </w:rPr>
        <w:t xml:space="preserve"> </w:t>
      </w:r>
      <w:r w:rsidRPr="00FA1673">
        <w:rPr>
          <w:rFonts w:asciiTheme="minorHAnsi" w:hAnsiTheme="minorHAnsi" w:cstheme="minorHAnsi"/>
          <w:sz w:val="22"/>
          <w:szCs w:val="22"/>
        </w:rPr>
        <w:t>není podnikem v obtížích ani není součástí skupiny</w:t>
      </w:r>
      <w:r>
        <w:rPr>
          <w:rStyle w:val="EndnoteReference"/>
          <w:rFonts w:asciiTheme="minorHAnsi" w:hAnsiTheme="minorHAnsi" w:cstheme="minorHAnsi"/>
          <w:sz w:val="22"/>
          <w:szCs w:val="22"/>
        </w:rPr>
        <w:endnoteReference w:id="2"/>
      </w:r>
      <w:r w:rsidRPr="00FA1673">
        <w:rPr>
          <w:rFonts w:asciiTheme="minorHAnsi" w:hAnsiTheme="minorHAnsi" w:cstheme="minorHAnsi"/>
          <w:sz w:val="22"/>
          <w:szCs w:val="22"/>
        </w:rPr>
        <w:t>, jež se nachází v obtížích ve smyslu článku 2 bodu 18 Nařízení Komise (EU) č. 651/2014 ze dne 17. června 2014</w:t>
      </w:r>
      <w:r>
        <w:rPr>
          <w:rStyle w:val="EndnoteReference"/>
          <w:rFonts w:asciiTheme="minorHAnsi" w:hAnsiTheme="minorHAnsi" w:cstheme="minorHAnsi"/>
          <w:sz w:val="22"/>
          <w:szCs w:val="22"/>
        </w:rPr>
        <w:endnoteReference w:id="3"/>
      </w:r>
      <w:r w:rsidRPr="00FA1673">
        <w:rPr>
          <w:rFonts w:asciiTheme="minorHAnsi" w:hAnsiTheme="minorHAnsi" w:cstheme="minorHAnsi"/>
          <w:sz w:val="22"/>
          <w:szCs w:val="22"/>
        </w:rPr>
        <w:t>;</w:t>
      </w:r>
    </w:p>
    <w:p w:rsidR="006A3D0A" w:rsidRPr="00FA1673" w:rsidP="00F442B5" w14:paraId="65859B85" w14:textId="77777777">
      <w:pPr>
        <w:ind w:left="0" w:firstLine="0"/>
        <w:rPr>
          <w:rFonts w:asciiTheme="minorHAnsi" w:hAnsiTheme="minorHAnsi" w:cstheme="minorHAnsi"/>
          <w:sz w:val="22"/>
          <w:szCs w:val="22"/>
        </w:rPr>
      </w:pPr>
    </w:p>
    <w:p w:rsidR="001602BF" w:rsidRPr="00F442B5" w:rsidP="00F442B5" w14:paraId="7210A827" w14:textId="28E5A8DD">
      <w:pPr>
        <w:pStyle w:val="BodyText"/>
        <w:numPr>
          <w:ilvl w:val="0"/>
          <w:numId w:val="1"/>
        </w:numPr>
        <w:rPr>
          <w:rFonts w:asciiTheme="minorHAnsi" w:hAnsiTheme="minorHAnsi" w:cstheme="minorHAnsi"/>
          <w:sz w:val="22"/>
          <w:szCs w:val="22"/>
        </w:rPr>
      </w:pPr>
      <w:r w:rsidRPr="00FA1673">
        <w:rPr>
          <w:rFonts w:asciiTheme="minorHAnsi" w:hAnsiTheme="minorHAnsi" w:cstheme="minorHAnsi"/>
          <w:sz w:val="22"/>
          <w:szCs w:val="22"/>
        </w:rPr>
        <w:t xml:space="preserve">vůči </w:t>
      </w:r>
      <w:r w:rsidR="00CA7D34">
        <w:rPr>
          <w:rFonts w:asciiTheme="minorHAnsi" w:hAnsiTheme="minorHAnsi" w:cstheme="minorHAnsi"/>
          <w:sz w:val="22"/>
          <w:szCs w:val="22"/>
        </w:rPr>
        <w:t>žadateli</w:t>
      </w:r>
      <w:r w:rsidRPr="00FA1673" w:rsidR="00CA7D34">
        <w:rPr>
          <w:rFonts w:asciiTheme="minorHAnsi" w:hAnsiTheme="minorHAnsi" w:cstheme="minorHAnsi"/>
          <w:sz w:val="22"/>
          <w:szCs w:val="22"/>
        </w:rPr>
        <w:t xml:space="preserve"> </w:t>
      </w:r>
      <w:r w:rsidRPr="00FA1673">
        <w:rPr>
          <w:rFonts w:asciiTheme="minorHAnsi" w:hAnsiTheme="minorHAnsi" w:cstheme="minorHAnsi"/>
          <w:sz w:val="22"/>
          <w:szCs w:val="22"/>
        </w:rPr>
        <w:t xml:space="preserve">nebylo vydáno rozhodnutí o úpadku. Zároveň čestně prohlašuji, že si nejsem vědom skutečnosti, že by </w:t>
      </w:r>
      <w:r w:rsidR="00CA7D34">
        <w:rPr>
          <w:rFonts w:asciiTheme="minorHAnsi" w:hAnsiTheme="minorHAnsi" w:cstheme="minorHAnsi"/>
          <w:sz w:val="22"/>
          <w:szCs w:val="22"/>
        </w:rPr>
        <w:t>žadateli</w:t>
      </w:r>
      <w:r w:rsidRPr="00FA1673" w:rsidR="00CA7D34">
        <w:rPr>
          <w:rFonts w:asciiTheme="minorHAnsi" w:hAnsiTheme="minorHAnsi" w:cstheme="minorHAnsi"/>
          <w:sz w:val="22"/>
          <w:szCs w:val="22"/>
        </w:rPr>
        <w:t xml:space="preserve"> </w:t>
      </w:r>
      <w:r w:rsidRPr="00FA1673">
        <w:rPr>
          <w:rFonts w:asciiTheme="minorHAnsi" w:hAnsiTheme="minorHAnsi" w:cstheme="minorHAnsi"/>
          <w:sz w:val="22"/>
          <w:szCs w:val="22"/>
        </w:rPr>
        <w:t>úpadek</w:t>
      </w:r>
      <w:r w:rsidRPr="00FA1673" w:rsidR="00134B59">
        <w:rPr>
          <w:rFonts w:asciiTheme="minorHAnsi" w:hAnsiTheme="minorHAnsi" w:cstheme="minorHAnsi"/>
          <w:sz w:val="22"/>
          <w:szCs w:val="22"/>
        </w:rPr>
        <w:t xml:space="preserve"> hrozil;</w:t>
      </w:r>
    </w:p>
    <w:p w:rsidR="001E26E3" w:rsidRPr="00FA1673" w:rsidP="001E26E3" w14:paraId="6FB7F2E9" w14:textId="77777777">
      <w:pPr>
        <w:pStyle w:val="ListParagraph"/>
        <w:rPr>
          <w:rFonts w:asciiTheme="minorHAnsi" w:hAnsiTheme="minorHAnsi" w:cstheme="minorHAnsi"/>
          <w:sz w:val="22"/>
          <w:szCs w:val="22"/>
        </w:rPr>
      </w:pPr>
    </w:p>
    <w:p w:rsidR="007E6C01" w:rsidRPr="00FA1673" w:rsidP="003463B5" w14:paraId="7EEED644" w14:textId="0D8BF351">
      <w:pPr>
        <w:pStyle w:val="ListParagraph"/>
        <w:numPr>
          <w:ilvl w:val="0"/>
          <w:numId w:val="1"/>
        </w:numPr>
        <w:rPr>
          <w:rFonts w:asciiTheme="minorHAnsi" w:hAnsiTheme="minorHAnsi" w:cstheme="minorHAnsi"/>
          <w:sz w:val="22"/>
          <w:szCs w:val="22"/>
        </w:rPr>
      </w:pPr>
      <w:r w:rsidRPr="00FA1673">
        <w:rPr>
          <w:rFonts w:asciiTheme="minorHAnsi" w:hAnsiTheme="minorHAnsi" w:cstheme="minorHAnsi"/>
          <w:sz w:val="22"/>
          <w:szCs w:val="22"/>
        </w:rPr>
        <w:t xml:space="preserve">vůči </w:t>
      </w:r>
      <w:r w:rsidR="00CA7D34">
        <w:rPr>
          <w:rFonts w:asciiTheme="minorHAnsi" w:hAnsiTheme="minorHAnsi" w:cstheme="minorHAnsi"/>
          <w:sz w:val="22"/>
          <w:szCs w:val="22"/>
        </w:rPr>
        <w:t>žadateli</w:t>
      </w:r>
      <w:r w:rsidRPr="00FA1673" w:rsidR="00CA7D34">
        <w:rPr>
          <w:rFonts w:asciiTheme="minorHAnsi" w:hAnsiTheme="minorHAnsi" w:cstheme="minorHAnsi"/>
          <w:sz w:val="22"/>
          <w:szCs w:val="22"/>
        </w:rPr>
        <w:t xml:space="preserve"> </w:t>
      </w:r>
      <w:r w:rsidRPr="00FA1673">
        <w:rPr>
          <w:rFonts w:asciiTheme="minorHAnsi" w:hAnsiTheme="minorHAnsi" w:cstheme="minorHAnsi"/>
          <w:sz w:val="22"/>
          <w:szCs w:val="22"/>
        </w:rPr>
        <w:t>nebyl v návaznosti na rozhodnutí Evropské komise, jímž byla podpora obdržená od poskytovatele z České republiky prohlášena za protiprávní a neslučitelnou s vnitřním trhem, vystaven inkasní příkaz, který dosud nebyl splacen</w:t>
      </w:r>
      <w:r w:rsidRPr="00FA1673">
        <w:rPr>
          <w:rFonts w:asciiTheme="minorHAnsi" w:hAnsiTheme="minorHAnsi" w:cstheme="minorHAnsi"/>
          <w:sz w:val="22"/>
          <w:szCs w:val="22"/>
        </w:rPr>
        <w:t>;</w:t>
      </w:r>
    </w:p>
    <w:p w:rsidR="00C22504" w:rsidRPr="00FA1673" w:rsidP="00C22504" w14:paraId="40240E41" w14:textId="77777777">
      <w:pPr>
        <w:pStyle w:val="ListParagraph"/>
        <w:ind w:firstLine="0"/>
        <w:rPr>
          <w:rFonts w:asciiTheme="minorHAnsi" w:hAnsiTheme="minorHAnsi" w:cstheme="minorHAnsi"/>
          <w:sz w:val="22"/>
          <w:szCs w:val="22"/>
        </w:rPr>
      </w:pPr>
    </w:p>
    <w:p w:rsidR="00C22504" w:rsidRPr="00FA1673" w:rsidP="003463B5" w14:paraId="3CA19BEC" w14:textId="4D021369">
      <w:pPr>
        <w:pStyle w:val="ListParagraph"/>
        <w:numPr>
          <w:ilvl w:val="0"/>
          <w:numId w:val="1"/>
        </w:numPr>
        <w:rPr>
          <w:rFonts w:asciiTheme="minorHAnsi" w:hAnsiTheme="minorHAnsi" w:cstheme="minorHAnsi"/>
          <w:sz w:val="22"/>
          <w:szCs w:val="22"/>
        </w:rPr>
      </w:pPr>
      <w:r w:rsidRPr="00FA1673">
        <w:rPr>
          <w:rFonts w:asciiTheme="minorHAnsi" w:hAnsiTheme="minorHAnsi" w:cstheme="minorHAnsi"/>
          <w:sz w:val="22"/>
          <w:szCs w:val="22"/>
        </w:rPr>
        <w:t>investi</w:t>
      </w:r>
      <w:r w:rsidRPr="00FA1673" w:rsidR="008C48C8">
        <w:rPr>
          <w:rFonts w:asciiTheme="minorHAnsi" w:hAnsiTheme="minorHAnsi" w:cstheme="minorHAnsi"/>
          <w:sz w:val="22"/>
          <w:szCs w:val="22"/>
        </w:rPr>
        <w:t>ce</w:t>
      </w:r>
      <w:r w:rsidRPr="00FA1673">
        <w:rPr>
          <w:rFonts w:asciiTheme="minorHAnsi" w:hAnsiTheme="minorHAnsi" w:cstheme="minorHAnsi"/>
          <w:sz w:val="22"/>
          <w:szCs w:val="22"/>
        </w:rPr>
        <w:t xml:space="preserve"> </w:t>
      </w:r>
      <w:r w:rsidR="00CA7D34">
        <w:rPr>
          <w:rFonts w:asciiTheme="minorHAnsi" w:hAnsiTheme="minorHAnsi" w:cstheme="minorHAnsi"/>
          <w:sz w:val="22"/>
          <w:szCs w:val="22"/>
        </w:rPr>
        <w:t>žadatele</w:t>
      </w:r>
      <w:r w:rsidRPr="00FA1673" w:rsidR="00CA7D34">
        <w:rPr>
          <w:rFonts w:asciiTheme="minorHAnsi" w:hAnsiTheme="minorHAnsi" w:cstheme="minorHAnsi"/>
          <w:sz w:val="22"/>
          <w:szCs w:val="22"/>
        </w:rPr>
        <w:t xml:space="preserve"> </w:t>
      </w:r>
      <w:r w:rsidRPr="00FA1673">
        <w:rPr>
          <w:rFonts w:asciiTheme="minorHAnsi" w:hAnsiTheme="minorHAnsi" w:cstheme="minorHAnsi"/>
          <w:sz w:val="22"/>
          <w:szCs w:val="22"/>
        </w:rPr>
        <w:t>nespadá do odvětví vyloučených dle čl. 1 odst. 3 a čl. 13 nařízení Komise (EU) č. 651/2014 ze dne 17. června 2014</w:t>
      </w:r>
      <w:r>
        <w:rPr>
          <w:rStyle w:val="EndnoteReference"/>
          <w:rFonts w:asciiTheme="minorHAnsi" w:hAnsiTheme="minorHAnsi" w:cstheme="minorHAnsi"/>
          <w:sz w:val="22"/>
          <w:szCs w:val="22"/>
        </w:rPr>
        <w:endnoteReference w:id="4"/>
      </w:r>
      <w:r w:rsidRPr="00FA1673">
        <w:rPr>
          <w:rFonts w:asciiTheme="minorHAnsi" w:hAnsiTheme="minorHAnsi" w:cstheme="minorHAnsi"/>
          <w:sz w:val="22"/>
          <w:szCs w:val="22"/>
        </w:rPr>
        <w:t>,</w:t>
      </w:r>
    </w:p>
    <w:p w:rsidR="007E6C01" w:rsidRPr="00FA1673" w:rsidP="00FB6449" w14:paraId="2B9EF833" w14:textId="77777777">
      <w:pPr>
        <w:ind w:left="0" w:firstLine="0"/>
        <w:rPr>
          <w:rFonts w:asciiTheme="minorHAnsi" w:hAnsiTheme="minorHAnsi" w:cstheme="minorHAnsi"/>
          <w:sz w:val="22"/>
          <w:szCs w:val="22"/>
        </w:rPr>
      </w:pPr>
    </w:p>
    <w:p w:rsidR="0083388E" w:rsidRPr="00FA1673" w:rsidP="00C22504" w14:paraId="6CB0BCB9" w14:textId="3844591F">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žadatel</w:t>
      </w:r>
      <w:r w:rsidRPr="00FA1673">
        <w:rPr>
          <w:rFonts w:asciiTheme="minorHAnsi" w:hAnsiTheme="minorHAnsi" w:cstheme="minorHAnsi"/>
          <w:sz w:val="22"/>
          <w:szCs w:val="22"/>
        </w:rPr>
        <w:t xml:space="preserve"> </w:t>
      </w:r>
      <w:r w:rsidRPr="00FA1673" w:rsidR="00BE0819">
        <w:rPr>
          <w:rFonts w:asciiTheme="minorHAnsi" w:hAnsiTheme="minorHAnsi" w:cstheme="minorHAnsi"/>
          <w:sz w:val="22"/>
          <w:szCs w:val="22"/>
        </w:rPr>
        <w:t>neprovedl během dvou let předcházejících žádosti o podporu přemístění</w:t>
      </w:r>
      <w:r>
        <w:rPr>
          <w:rStyle w:val="EndnoteReference"/>
          <w:rFonts w:asciiTheme="minorHAnsi" w:hAnsiTheme="minorHAnsi" w:cstheme="minorHAnsi"/>
          <w:sz w:val="22"/>
          <w:szCs w:val="22"/>
        </w:rPr>
        <w:endnoteReference w:id="5"/>
      </w:r>
      <w:r w:rsidRPr="00FA1673" w:rsidR="00BE0819">
        <w:rPr>
          <w:rFonts w:asciiTheme="minorHAnsi" w:hAnsiTheme="minorHAnsi" w:cstheme="minorHAnsi"/>
          <w:sz w:val="22"/>
          <w:szCs w:val="22"/>
        </w:rPr>
        <w:t xml:space="preserve"> do</w:t>
      </w:r>
      <w:r w:rsidRPr="00FA1673" w:rsidR="00E03814">
        <w:rPr>
          <w:rFonts w:asciiTheme="minorHAnsi" w:hAnsiTheme="minorHAnsi" w:cstheme="minorHAnsi"/>
          <w:sz w:val="22"/>
          <w:szCs w:val="22"/>
        </w:rPr>
        <w:t xml:space="preserve"> místa realizace </w:t>
      </w:r>
      <w:r>
        <w:rPr>
          <w:rFonts w:asciiTheme="minorHAnsi" w:hAnsiTheme="minorHAnsi" w:cstheme="minorHAnsi"/>
          <w:sz w:val="22"/>
          <w:szCs w:val="22"/>
        </w:rPr>
        <w:t>projektu</w:t>
      </w:r>
      <w:r w:rsidRPr="00FA1673" w:rsidR="00E03814">
        <w:rPr>
          <w:rFonts w:asciiTheme="minorHAnsi" w:hAnsiTheme="minorHAnsi" w:cstheme="minorHAnsi"/>
          <w:sz w:val="22"/>
          <w:szCs w:val="22"/>
        </w:rPr>
        <w:t xml:space="preserve">, na </w:t>
      </w:r>
      <w:r w:rsidRPr="00FA1673">
        <w:rPr>
          <w:rFonts w:asciiTheme="minorHAnsi" w:hAnsiTheme="minorHAnsi" w:cstheme="minorHAnsi"/>
          <w:sz w:val="22"/>
          <w:szCs w:val="22"/>
        </w:rPr>
        <w:t>kter</w:t>
      </w:r>
      <w:r>
        <w:rPr>
          <w:rFonts w:asciiTheme="minorHAnsi" w:hAnsiTheme="minorHAnsi" w:cstheme="minorHAnsi"/>
          <w:sz w:val="22"/>
          <w:szCs w:val="22"/>
        </w:rPr>
        <w:t>ý</w:t>
      </w:r>
      <w:r w:rsidRPr="00FA1673">
        <w:rPr>
          <w:rFonts w:asciiTheme="minorHAnsi" w:hAnsiTheme="minorHAnsi" w:cstheme="minorHAnsi"/>
          <w:sz w:val="22"/>
          <w:szCs w:val="22"/>
        </w:rPr>
        <w:t xml:space="preserve"> </w:t>
      </w:r>
      <w:r w:rsidRPr="00FA1673" w:rsidR="00E03814">
        <w:rPr>
          <w:rFonts w:asciiTheme="minorHAnsi" w:hAnsiTheme="minorHAnsi" w:cstheme="minorHAnsi"/>
          <w:sz w:val="22"/>
          <w:szCs w:val="22"/>
        </w:rPr>
        <w:t xml:space="preserve">je </w:t>
      </w:r>
      <w:r>
        <w:rPr>
          <w:rFonts w:asciiTheme="minorHAnsi" w:hAnsiTheme="minorHAnsi" w:cstheme="minorHAnsi"/>
          <w:sz w:val="22"/>
          <w:szCs w:val="22"/>
        </w:rPr>
        <w:t>podpora</w:t>
      </w:r>
      <w:r w:rsidRPr="00FA1673" w:rsidR="00E03814">
        <w:rPr>
          <w:rFonts w:asciiTheme="minorHAnsi" w:hAnsiTheme="minorHAnsi" w:cstheme="minorHAnsi"/>
          <w:sz w:val="22"/>
          <w:szCs w:val="22"/>
        </w:rPr>
        <w:t xml:space="preserve"> žádána</w:t>
      </w:r>
      <w:r w:rsidRPr="00FA1673" w:rsidR="00BE0819">
        <w:rPr>
          <w:rFonts w:asciiTheme="minorHAnsi" w:hAnsiTheme="minorHAnsi" w:cstheme="minorHAnsi"/>
          <w:sz w:val="22"/>
          <w:szCs w:val="22"/>
        </w:rPr>
        <w:t>, a</w:t>
      </w:r>
      <w:r w:rsidRPr="00FA1673" w:rsidR="00E03814">
        <w:rPr>
          <w:rFonts w:asciiTheme="minorHAnsi" w:hAnsiTheme="minorHAnsi" w:cstheme="minorHAnsi"/>
          <w:sz w:val="22"/>
          <w:szCs w:val="22"/>
        </w:rPr>
        <w:t> </w:t>
      </w:r>
      <w:r>
        <w:rPr>
          <w:rFonts w:asciiTheme="minorHAnsi" w:hAnsiTheme="minorHAnsi" w:cstheme="minorHAnsi"/>
          <w:sz w:val="22"/>
          <w:szCs w:val="22"/>
        </w:rPr>
        <w:t>žadatel</w:t>
      </w:r>
      <w:r w:rsidRPr="00FA1673">
        <w:rPr>
          <w:rFonts w:asciiTheme="minorHAnsi" w:hAnsiTheme="minorHAnsi" w:cstheme="minorHAnsi"/>
          <w:sz w:val="22"/>
          <w:szCs w:val="22"/>
        </w:rPr>
        <w:t xml:space="preserve"> </w:t>
      </w:r>
      <w:r w:rsidRPr="00FA1673" w:rsidR="00BE0819">
        <w:rPr>
          <w:rFonts w:asciiTheme="minorHAnsi" w:hAnsiTheme="minorHAnsi" w:cstheme="minorHAnsi"/>
          <w:sz w:val="22"/>
          <w:szCs w:val="22"/>
        </w:rPr>
        <w:t>se zavazuje, že tak neučiní do dvou let po dokončení</w:t>
      </w:r>
      <w:r w:rsidRPr="00FA1673" w:rsidR="00E03814">
        <w:rPr>
          <w:rFonts w:asciiTheme="minorHAnsi" w:hAnsiTheme="minorHAnsi" w:cstheme="minorHAnsi"/>
          <w:sz w:val="22"/>
          <w:szCs w:val="22"/>
        </w:rPr>
        <w:t xml:space="preserve"> </w:t>
      </w:r>
      <w:r>
        <w:rPr>
          <w:rFonts w:asciiTheme="minorHAnsi" w:hAnsiTheme="minorHAnsi" w:cstheme="minorHAnsi"/>
          <w:sz w:val="22"/>
          <w:szCs w:val="22"/>
        </w:rPr>
        <w:t>tohoto projektu</w:t>
      </w:r>
      <w:r w:rsidRPr="00FA1673" w:rsidR="00C067A5">
        <w:rPr>
          <w:rFonts w:asciiTheme="minorHAnsi" w:hAnsiTheme="minorHAnsi" w:cstheme="minorHAnsi"/>
          <w:sz w:val="22"/>
          <w:szCs w:val="22"/>
        </w:rPr>
        <w:t>;</w:t>
      </w:r>
    </w:p>
    <w:p w:rsidR="004475BB" w:rsidRPr="00FA1673" w:rsidP="004475BB" w14:paraId="4508B64D" w14:textId="77777777">
      <w:pPr>
        <w:pStyle w:val="ListParagraph"/>
        <w:ind w:firstLine="0"/>
        <w:rPr>
          <w:rFonts w:asciiTheme="minorHAnsi" w:hAnsiTheme="minorHAnsi" w:cstheme="minorHAnsi"/>
          <w:sz w:val="22"/>
          <w:szCs w:val="22"/>
        </w:rPr>
      </w:pPr>
    </w:p>
    <w:p w:rsidR="00496087" w:rsidRPr="00FA1673" w:rsidP="00496087" w14:paraId="3098A31E" w14:textId="311BCF02">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žadatel</w:t>
      </w:r>
      <w:r w:rsidRPr="00FA1673">
        <w:rPr>
          <w:rFonts w:asciiTheme="minorHAnsi" w:hAnsiTheme="minorHAnsi" w:cstheme="minorHAnsi"/>
          <w:sz w:val="22"/>
          <w:szCs w:val="22"/>
        </w:rPr>
        <w:t xml:space="preserve"> </w:t>
      </w:r>
      <w:r w:rsidRPr="00FA1673">
        <w:rPr>
          <w:rFonts w:asciiTheme="minorHAnsi" w:hAnsiTheme="minorHAnsi" w:cstheme="minorHAnsi"/>
          <w:sz w:val="22"/>
          <w:szCs w:val="22"/>
        </w:rPr>
        <w:t xml:space="preserve">má, v souladu se zákonem č. 37/2021 Sb., o evidenci skutečných majitelů, ve znění pozdějších předpisů, </w:t>
      </w:r>
      <w:r w:rsidRPr="00FA1673" w:rsidR="004475BB">
        <w:rPr>
          <w:rFonts w:asciiTheme="minorHAnsi" w:hAnsiTheme="minorHAnsi" w:cstheme="minorHAnsi"/>
          <w:sz w:val="22"/>
          <w:szCs w:val="22"/>
        </w:rPr>
        <w:t xml:space="preserve">zapsané </w:t>
      </w:r>
      <w:r w:rsidRPr="00FA1673" w:rsidR="00EB25B3">
        <w:rPr>
          <w:rFonts w:asciiTheme="minorHAnsi" w:hAnsiTheme="minorHAnsi" w:cstheme="minorHAnsi"/>
          <w:sz w:val="22"/>
          <w:szCs w:val="22"/>
        </w:rPr>
        <w:t>své skutečné majitel</w:t>
      </w:r>
      <w:r w:rsidRPr="00FA1673" w:rsidR="002913D9">
        <w:rPr>
          <w:rFonts w:asciiTheme="minorHAnsi" w:hAnsiTheme="minorHAnsi" w:cstheme="minorHAnsi"/>
          <w:sz w:val="22"/>
          <w:szCs w:val="22"/>
        </w:rPr>
        <w:t>e</w:t>
      </w:r>
      <w:r w:rsidRPr="00FA1673" w:rsidR="00EB25B3">
        <w:rPr>
          <w:rFonts w:asciiTheme="minorHAnsi" w:hAnsiTheme="minorHAnsi" w:cstheme="minorHAnsi"/>
          <w:sz w:val="22"/>
          <w:szCs w:val="22"/>
        </w:rPr>
        <w:t xml:space="preserve"> v Evidenci skutečných </w:t>
      </w:r>
      <w:r w:rsidRPr="00FA1673" w:rsidR="00B80D93">
        <w:rPr>
          <w:rFonts w:asciiTheme="minorHAnsi" w:hAnsiTheme="minorHAnsi" w:cstheme="minorHAnsi"/>
          <w:sz w:val="22"/>
          <w:szCs w:val="22"/>
        </w:rPr>
        <w:t>majitelů</w:t>
      </w:r>
      <w:r w:rsidRPr="00FA1673" w:rsidR="002913D9">
        <w:rPr>
          <w:rFonts w:asciiTheme="minorHAnsi" w:hAnsiTheme="minorHAnsi" w:cstheme="minorHAnsi"/>
          <w:sz w:val="22"/>
          <w:szCs w:val="22"/>
        </w:rPr>
        <w:t>, pokud se na ně</w:t>
      </w:r>
      <w:r>
        <w:rPr>
          <w:rFonts w:asciiTheme="minorHAnsi" w:hAnsiTheme="minorHAnsi" w:cstheme="minorHAnsi"/>
          <w:sz w:val="22"/>
          <w:szCs w:val="22"/>
        </w:rPr>
        <w:t>j</w:t>
      </w:r>
      <w:r w:rsidRPr="00FA1673" w:rsidR="002913D9">
        <w:rPr>
          <w:rFonts w:asciiTheme="minorHAnsi" w:hAnsiTheme="minorHAnsi" w:cstheme="minorHAnsi"/>
          <w:sz w:val="22"/>
          <w:szCs w:val="22"/>
        </w:rPr>
        <w:t xml:space="preserve"> tato povinnost vztahuje,</w:t>
      </w:r>
      <w:r w:rsidRPr="00FA1673" w:rsidR="0063607C">
        <w:rPr>
          <w:rFonts w:asciiTheme="minorHAnsi" w:hAnsiTheme="minorHAnsi" w:cstheme="minorHAnsi"/>
          <w:sz w:val="22"/>
          <w:szCs w:val="22"/>
        </w:rPr>
        <w:t xml:space="preserve"> a s</w:t>
      </w:r>
      <w:r w:rsidRPr="00FA1673" w:rsidR="004475BB">
        <w:rPr>
          <w:rFonts w:asciiTheme="minorHAnsi" w:hAnsiTheme="minorHAnsi" w:cstheme="minorHAnsi"/>
          <w:sz w:val="22"/>
          <w:szCs w:val="22"/>
        </w:rPr>
        <w:t>kutečn</w:t>
      </w:r>
      <w:r w:rsidRPr="00FA1673" w:rsidR="002913D9">
        <w:rPr>
          <w:rFonts w:asciiTheme="minorHAnsi" w:hAnsiTheme="minorHAnsi" w:cstheme="minorHAnsi"/>
          <w:sz w:val="22"/>
          <w:szCs w:val="22"/>
        </w:rPr>
        <w:t xml:space="preserve">ý </w:t>
      </w:r>
      <w:r w:rsidRPr="00FA1673" w:rsidR="004475BB">
        <w:rPr>
          <w:rFonts w:asciiTheme="minorHAnsi" w:hAnsiTheme="minorHAnsi" w:cstheme="minorHAnsi"/>
          <w:sz w:val="22"/>
          <w:szCs w:val="22"/>
        </w:rPr>
        <w:t>majitel ne</w:t>
      </w:r>
      <w:r w:rsidRPr="00FA1673" w:rsidR="002913D9">
        <w:rPr>
          <w:rFonts w:asciiTheme="minorHAnsi" w:hAnsiTheme="minorHAnsi" w:cstheme="minorHAnsi"/>
          <w:sz w:val="22"/>
          <w:szCs w:val="22"/>
        </w:rPr>
        <w:t>ní</w:t>
      </w:r>
      <w:r w:rsidRPr="00FA1673" w:rsidR="004475BB">
        <w:rPr>
          <w:rFonts w:asciiTheme="minorHAnsi" w:hAnsiTheme="minorHAnsi" w:cstheme="minorHAnsi"/>
          <w:sz w:val="22"/>
          <w:szCs w:val="22"/>
        </w:rPr>
        <w:t>, v souladu s § 4c zákona č. 159/2006 Sb., o střetu zájmů, ve znění pozdějších předpisů, veřejným funkcionářem uvedeným v § 2 odst. 1 písm. c) zákona č. 159/2006 Sb., o střetu zájmů, ve znění pozdějších předpisů</w:t>
      </w:r>
      <w:r w:rsidRPr="00FA1673" w:rsidR="002913D9">
        <w:rPr>
          <w:rFonts w:asciiTheme="minorHAnsi" w:hAnsiTheme="minorHAnsi" w:cstheme="minorHAnsi"/>
          <w:sz w:val="22"/>
          <w:szCs w:val="22"/>
        </w:rPr>
        <w:t>;</w:t>
      </w:r>
    </w:p>
    <w:p w:rsidR="00103ED0" w:rsidRPr="00FA1673" w:rsidP="00103ED0" w14:paraId="27CADF01" w14:textId="77777777">
      <w:pPr>
        <w:pStyle w:val="ListParagraph"/>
        <w:rPr>
          <w:rFonts w:asciiTheme="minorHAnsi" w:hAnsiTheme="minorHAnsi" w:cstheme="minorHAnsi"/>
          <w:sz w:val="22"/>
          <w:szCs w:val="22"/>
        </w:rPr>
      </w:pPr>
    </w:p>
    <w:p w:rsidR="00103ED0" w:rsidRPr="00FA1673" w:rsidP="00103ED0" w14:paraId="1523D79F" w14:textId="1D67321D">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na žadatele </w:t>
      </w:r>
      <w:r w:rsidR="002E1736">
        <w:rPr>
          <w:rFonts w:asciiTheme="minorHAnsi" w:hAnsiTheme="minorHAnsi" w:cstheme="minorHAnsi"/>
          <w:sz w:val="22"/>
          <w:szCs w:val="22"/>
        </w:rPr>
        <w:t xml:space="preserve">se nevztahují </w:t>
      </w:r>
      <w:r w:rsidRPr="00FA1673">
        <w:rPr>
          <w:rFonts w:asciiTheme="minorHAnsi" w:hAnsiTheme="minorHAnsi" w:cstheme="minorHAnsi"/>
          <w:sz w:val="22"/>
          <w:szCs w:val="22"/>
        </w:rPr>
        <w:t>sankce přijaté Evropskou unií, a to včetně osob, subjektů nebo orgánů konkrétně jmenovaných v právních aktech, jimiž se tyto sankce ukládají</w:t>
      </w:r>
      <w:r w:rsidRPr="00FA1673" w:rsidR="0063607C">
        <w:rPr>
          <w:rFonts w:asciiTheme="minorHAnsi" w:hAnsiTheme="minorHAnsi" w:cstheme="minorHAnsi"/>
          <w:sz w:val="22"/>
          <w:szCs w:val="22"/>
        </w:rPr>
        <w:t xml:space="preserve">. Nejedná se o </w:t>
      </w:r>
      <w:r>
        <w:rPr>
          <w:rFonts w:asciiTheme="minorHAnsi" w:hAnsiTheme="minorHAnsi" w:cstheme="minorHAnsi"/>
          <w:sz w:val="22"/>
          <w:szCs w:val="22"/>
        </w:rPr>
        <w:t>s</w:t>
      </w:r>
      <w:r w:rsidRPr="00FA1673" w:rsidR="0063607C">
        <w:rPr>
          <w:rFonts w:asciiTheme="minorHAnsi" w:hAnsiTheme="minorHAnsi" w:cstheme="minorHAnsi"/>
          <w:sz w:val="22"/>
          <w:szCs w:val="22"/>
        </w:rPr>
        <w:t>polečnost</w:t>
      </w:r>
      <w:r w:rsidRPr="00FA1673">
        <w:rPr>
          <w:rFonts w:asciiTheme="minorHAnsi" w:hAnsiTheme="minorHAnsi" w:cstheme="minorHAnsi"/>
          <w:sz w:val="22"/>
          <w:szCs w:val="22"/>
        </w:rPr>
        <w:t xml:space="preserve"> vlastněn</w:t>
      </w:r>
      <w:r w:rsidRPr="00FA1673" w:rsidR="0063607C">
        <w:rPr>
          <w:rFonts w:asciiTheme="minorHAnsi" w:hAnsiTheme="minorHAnsi" w:cstheme="minorHAnsi"/>
          <w:sz w:val="22"/>
          <w:szCs w:val="22"/>
        </w:rPr>
        <w:t>ou</w:t>
      </w:r>
      <w:r w:rsidRPr="00FA1673">
        <w:rPr>
          <w:rFonts w:asciiTheme="minorHAnsi" w:hAnsiTheme="minorHAnsi" w:cstheme="minorHAnsi"/>
          <w:sz w:val="22"/>
          <w:szCs w:val="22"/>
        </w:rPr>
        <w:t xml:space="preserve"> nebo ovládan</w:t>
      </w:r>
      <w:r w:rsidRPr="00FA1673" w:rsidR="0063607C">
        <w:rPr>
          <w:rFonts w:asciiTheme="minorHAnsi" w:hAnsiTheme="minorHAnsi" w:cstheme="minorHAnsi"/>
          <w:sz w:val="22"/>
          <w:szCs w:val="22"/>
        </w:rPr>
        <w:t>ou</w:t>
      </w:r>
      <w:r w:rsidRPr="00FA1673">
        <w:rPr>
          <w:rFonts w:asciiTheme="minorHAnsi" w:hAnsiTheme="minorHAnsi" w:cstheme="minorHAnsi"/>
          <w:sz w:val="22"/>
          <w:szCs w:val="22"/>
        </w:rPr>
        <w:t xml:space="preserve"> osobami, subjekty či orgány, na něž jsou namířeny sankce přijaté Evropskou unií, a</w:t>
      </w:r>
      <w:r w:rsidRPr="00FA1673" w:rsidR="0063607C">
        <w:rPr>
          <w:rFonts w:asciiTheme="minorHAnsi" w:hAnsiTheme="minorHAnsi" w:cstheme="minorHAnsi"/>
          <w:sz w:val="22"/>
          <w:szCs w:val="22"/>
        </w:rPr>
        <w:t>ni o</w:t>
      </w:r>
      <w:r w:rsidRPr="00FA1673">
        <w:rPr>
          <w:rFonts w:asciiTheme="minorHAnsi" w:hAnsiTheme="minorHAnsi" w:cstheme="minorHAnsi"/>
          <w:sz w:val="22"/>
          <w:szCs w:val="22"/>
        </w:rPr>
        <w:t> </w:t>
      </w:r>
      <w:r>
        <w:rPr>
          <w:rFonts w:asciiTheme="minorHAnsi" w:hAnsiTheme="minorHAnsi" w:cstheme="minorHAnsi"/>
          <w:sz w:val="22"/>
          <w:szCs w:val="22"/>
        </w:rPr>
        <w:t>s</w:t>
      </w:r>
      <w:r w:rsidRPr="00FA1673" w:rsidR="0063607C">
        <w:rPr>
          <w:rFonts w:asciiTheme="minorHAnsi" w:hAnsiTheme="minorHAnsi" w:cstheme="minorHAnsi"/>
          <w:sz w:val="22"/>
          <w:szCs w:val="22"/>
        </w:rPr>
        <w:t>polečnost</w:t>
      </w:r>
      <w:r w:rsidRPr="00FA1673">
        <w:rPr>
          <w:rFonts w:asciiTheme="minorHAnsi" w:hAnsiTheme="minorHAnsi" w:cstheme="minorHAnsi"/>
          <w:sz w:val="22"/>
          <w:szCs w:val="22"/>
        </w:rPr>
        <w:t xml:space="preserve"> působící v odvětvích, na něž se vztahují sankce přijaté Evropskou unií</w:t>
      </w:r>
      <w:r w:rsidRPr="00FA1673" w:rsidR="002913D9">
        <w:rPr>
          <w:rFonts w:asciiTheme="minorHAnsi" w:hAnsiTheme="minorHAnsi" w:cstheme="minorHAnsi"/>
          <w:sz w:val="22"/>
          <w:szCs w:val="22"/>
        </w:rPr>
        <w:t>;</w:t>
      </w:r>
    </w:p>
    <w:p w:rsidR="004475BB" w:rsidRPr="00FA1673" w:rsidP="004475BB" w14:paraId="7C2B8E89" w14:textId="77777777">
      <w:pPr>
        <w:ind w:left="0" w:firstLine="0"/>
        <w:rPr>
          <w:rFonts w:asciiTheme="minorHAnsi" w:hAnsiTheme="minorHAnsi" w:cstheme="minorHAnsi"/>
          <w:sz w:val="22"/>
          <w:szCs w:val="22"/>
        </w:rPr>
      </w:pPr>
    </w:p>
    <w:p w:rsidR="00EB25B3" w:rsidRPr="00FA1673" w:rsidP="00496087" w14:paraId="1781E446" w14:textId="3E82AAC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žadatel</w:t>
      </w:r>
      <w:r w:rsidRPr="00FA1673">
        <w:rPr>
          <w:rFonts w:asciiTheme="minorHAnsi" w:hAnsiTheme="minorHAnsi" w:cstheme="minorHAnsi"/>
          <w:sz w:val="22"/>
          <w:szCs w:val="22"/>
        </w:rPr>
        <w:t xml:space="preserve"> </w:t>
      </w:r>
      <w:r w:rsidRPr="00FA1673">
        <w:rPr>
          <w:rFonts w:asciiTheme="minorHAnsi" w:hAnsiTheme="minorHAnsi" w:cstheme="minorHAnsi"/>
          <w:sz w:val="22"/>
          <w:szCs w:val="22"/>
        </w:rPr>
        <w:t xml:space="preserve">nemá v souladu s nařízením Rady (EU) č. </w:t>
      </w:r>
      <w:r w:rsidRPr="00FA1673" w:rsidR="00103ED0">
        <w:rPr>
          <w:rFonts w:asciiTheme="minorHAnsi" w:hAnsiTheme="minorHAnsi" w:cstheme="minorHAnsi"/>
          <w:sz w:val="22"/>
          <w:szCs w:val="22"/>
        </w:rPr>
        <w:t>2022/428</w:t>
      </w:r>
      <w:r w:rsidRPr="00FA1673">
        <w:rPr>
          <w:rFonts w:asciiTheme="minorHAnsi" w:hAnsiTheme="minorHAnsi" w:cstheme="minorHAnsi"/>
          <w:sz w:val="22"/>
          <w:szCs w:val="22"/>
        </w:rPr>
        <w:t xml:space="preserve"> ve své vlastnické struktuře právnickou osobu,</w:t>
      </w:r>
      <w:r w:rsidRPr="00FA1673" w:rsidR="00103ED0">
        <w:rPr>
          <w:rFonts w:asciiTheme="minorHAnsi" w:hAnsiTheme="minorHAnsi" w:cstheme="minorHAnsi"/>
          <w:sz w:val="22"/>
          <w:szCs w:val="22"/>
        </w:rPr>
        <w:t xml:space="preserve"> </w:t>
      </w:r>
      <w:r w:rsidRPr="00FA1673">
        <w:rPr>
          <w:rFonts w:asciiTheme="minorHAnsi" w:hAnsiTheme="minorHAnsi" w:cstheme="minorHAnsi"/>
          <w:sz w:val="22"/>
          <w:szCs w:val="22"/>
        </w:rPr>
        <w:t>subjekt nebo orgán usazený v Rusku, který je z více než 50 % ve veřejném vlastnictví nebo pod veřejnou kontrolou</w:t>
      </w:r>
      <w:r w:rsidRPr="00FA1673" w:rsidR="004A28FD">
        <w:rPr>
          <w:rFonts w:asciiTheme="minorHAnsi" w:hAnsiTheme="minorHAnsi" w:cstheme="minorHAnsi"/>
          <w:sz w:val="22"/>
          <w:szCs w:val="22"/>
        </w:rPr>
        <w:t>, nebo ve kterých má Rusko, jeho vláda nebo jeho centrální banka právo podílet se na zisku nebo se kterými má Rusko, jeho vláda nebo jeho centrální banka jiný významný hospodářky vztah</w:t>
      </w:r>
      <w:r w:rsidRPr="00FA1673" w:rsidR="00346502">
        <w:rPr>
          <w:rFonts w:asciiTheme="minorHAnsi" w:hAnsiTheme="minorHAnsi" w:cstheme="minorHAnsi"/>
          <w:sz w:val="22"/>
          <w:szCs w:val="22"/>
        </w:rPr>
        <w:t>.</w:t>
      </w:r>
    </w:p>
    <w:p w:rsidR="00C6729B" w:rsidRPr="00FA1673" w:rsidP="00C6729B" w14:paraId="175B1C96" w14:textId="77777777">
      <w:pPr>
        <w:ind w:left="0" w:firstLine="0"/>
        <w:rPr>
          <w:rFonts w:asciiTheme="minorHAnsi" w:hAnsiTheme="minorHAnsi" w:cstheme="minorHAnsi"/>
          <w:sz w:val="22"/>
          <w:szCs w:val="22"/>
        </w:rPr>
      </w:pPr>
    </w:p>
    <w:p w:rsidR="00C6729B" w:rsidRPr="00FA1673" w:rsidP="00B90805" w14:paraId="1D645819" w14:textId="77777777">
      <w:pPr>
        <w:ind w:left="0" w:firstLine="0"/>
        <w:rPr>
          <w:rFonts w:asciiTheme="minorHAnsi" w:hAnsiTheme="minorHAnsi" w:cstheme="minorHAnsi"/>
          <w:sz w:val="22"/>
          <w:szCs w:val="22"/>
        </w:rPr>
      </w:pPr>
    </w:p>
    <w:p w:rsidR="00C6729B" w:rsidRPr="00FA1673" w:rsidP="003101F8" w14:paraId="2D947400" w14:textId="77777777">
      <w:pPr>
        <w:rPr>
          <w:rFonts w:asciiTheme="minorHAnsi" w:hAnsiTheme="minorHAnsi" w:cstheme="minorHAnsi"/>
          <w:sz w:val="22"/>
          <w:szCs w:val="22"/>
        </w:rPr>
      </w:pPr>
    </w:p>
    <w:p w:rsidR="003101F8" w:rsidRPr="00FA1673" w:rsidP="003101F8" w14:paraId="3332F154" w14:textId="77777777">
      <w:pPr>
        <w:jc w:val="right"/>
        <w:rPr>
          <w:rFonts w:asciiTheme="minorHAnsi" w:hAnsiTheme="minorHAnsi" w:cstheme="minorHAnsi"/>
          <w:sz w:val="22"/>
          <w:szCs w:val="22"/>
        </w:rPr>
      </w:pP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t>Společnost</w:t>
      </w:r>
    </w:p>
    <w:p w:rsidR="003101F8" w:rsidRPr="00FA1673" w:rsidP="003101F8" w14:paraId="4460E860" w14:textId="77777777">
      <w:pPr>
        <w:jc w:val="right"/>
        <w:rPr>
          <w:rFonts w:asciiTheme="minorHAnsi" w:hAnsiTheme="minorHAnsi" w:cstheme="minorHAnsi"/>
          <w:sz w:val="22"/>
          <w:szCs w:val="22"/>
        </w:rPr>
      </w:pPr>
      <w:r w:rsidRPr="00FA1673">
        <w:rPr>
          <w:rFonts w:asciiTheme="minorHAnsi" w:hAnsiTheme="minorHAnsi" w:cstheme="minorHAnsi"/>
          <w:sz w:val="22"/>
          <w:szCs w:val="22"/>
        </w:rPr>
        <w:t>Statutární orgán</w:t>
      </w:r>
    </w:p>
    <w:p w:rsidR="003101F8" w:rsidRPr="00FA1673" w:rsidP="003101F8" w14:paraId="54BF81F1" w14:textId="6B74F6F0">
      <w:pPr>
        <w:jc w:val="right"/>
        <w:rPr>
          <w:rFonts w:asciiTheme="minorHAnsi" w:hAnsiTheme="minorHAnsi" w:cstheme="minorHAnsi"/>
          <w:sz w:val="22"/>
          <w:szCs w:val="22"/>
        </w:rPr>
      </w:pP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t xml:space="preserve"> </w:t>
      </w: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r>
      <w:r w:rsidRPr="00FA1673">
        <w:rPr>
          <w:rFonts w:asciiTheme="minorHAnsi" w:hAnsiTheme="minorHAnsi" w:cstheme="minorHAnsi"/>
          <w:sz w:val="22"/>
          <w:szCs w:val="22"/>
        </w:rPr>
        <w:tab/>
        <w:t xml:space="preserve"> úředně ověřený podpis </w:t>
      </w:r>
    </w:p>
    <w:p w:rsidR="00F442B5" w:rsidP="00B90805" w14:paraId="396D15D4" w14:textId="77777777">
      <w:pPr>
        <w:rPr>
          <w:rFonts w:asciiTheme="minorHAnsi" w:hAnsiTheme="minorHAnsi" w:cstheme="minorHAnsi"/>
          <w:sz w:val="22"/>
          <w:szCs w:val="22"/>
        </w:rPr>
      </w:pPr>
      <w:r w:rsidRPr="00FA1673">
        <w:rPr>
          <w:rFonts w:asciiTheme="minorHAnsi" w:hAnsiTheme="minorHAnsi" w:cstheme="minorHAnsi"/>
          <w:sz w:val="22"/>
          <w:szCs w:val="22"/>
        </w:rPr>
        <w:t xml:space="preserve">               </w:t>
      </w:r>
      <w:r w:rsidRPr="00FA1673" w:rsidR="00B90805">
        <w:rPr>
          <w:rFonts w:asciiTheme="minorHAnsi" w:hAnsiTheme="minorHAnsi" w:cstheme="minorHAnsi"/>
          <w:sz w:val="22"/>
          <w:szCs w:val="22"/>
        </w:rPr>
        <w:t xml:space="preserve">  </w:t>
      </w:r>
    </w:p>
    <w:p w:rsidR="00C55B22" w:rsidRPr="00FA1673" w:rsidP="00B90805" w14:paraId="51E8D6F0" w14:textId="0DD82E18">
      <w:pPr>
        <w:rPr>
          <w:rFonts w:asciiTheme="minorHAnsi" w:hAnsiTheme="minorHAnsi" w:cstheme="minorHAnsi"/>
          <w:sz w:val="22"/>
          <w:szCs w:val="22"/>
        </w:rPr>
      </w:pPr>
      <w:r w:rsidRPr="00FA1673">
        <w:rPr>
          <w:rFonts w:asciiTheme="minorHAnsi" w:hAnsiTheme="minorHAnsi" w:cstheme="minorHAnsi"/>
          <w:sz w:val="22"/>
          <w:szCs w:val="22"/>
        </w:rPr>
        <w:t xml:space="preserve">                          </w:t>
      </w:r>
      <w:r w:rsidRPr="00FA1673">
        <w:rPr>
          <w:rFonts w:asciiTheme="minorHAnsi" w:hAnsiTheme="minorHAnsi" w:cstheme="minorHAnsi"/>
          <w:sz w:val="22"/>
          <w:szCs w:val="22"/>
        </w:rPr>
        <w:tab/>
      </w:r>
    </w:p>
    <w:sectPr w:rsidSect="00F27A9B">
      <w:headerReference w:type="first" r:id="rId6"/>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77A09" w:rsidP="003101F8" w14:paraId="386E7BBC" w14:textId="77777777">
      <w:r>
        <w:separator/>
      </w:r>
    </w:p>
  </w:endnote>
  <w:endnote w:type="continuationSeparator" w:id="1">
    <w:p w:rsidR="00677A09" w:rsidP="003101F8" w14:paraId="32C44466" w14:textId="77777777">
      <w:r>
        <w:continuationSeparator/>
      </w:r>
    </w:p>
  </w:endnote>
  <w:endnote w:id="2">
    <w:p w:rsidR="00C22504" w:rsidRPr="00FA1673" w:rsidP="00C22504" w14:paraId="340D64B5" w14:textId="77777777">
      <w:pPr>
        <w:pStyle w:val="EndnoteText"/>
        <w:rPr>
          <w:rFonts w:asciiTheme="minorHAnsi" w:hAnsiTheme="minorHAnsi" w:cstheme="minorHAnsi"/>
          <w:sz w:val="14"/>
          <w:szCs w:val="14"/>
        </w:rPr>
      </w:pPr>
      <w:r w:rsidRPr="00FA1673">
        <w:rPr>
          <w:rStyle w:val="EndnoteReference"/>
          <w:rFonts w:asciiTheme="minorHAnsi" w:hAnsiTheme="minorHAnsi" w:cstheme="minorHAnsi"/>
          <w:sz w:val="18"/>
          <w:szCs w:val="18"/>
        </w:rPr>
        <w:endnoteRef/>
      </w:r>
      <w:r w:rsidRPr="00FA1673">
        <w:rPr>
          <w:rFonts w:asciiTheme="minorHAnsi" w:hAnsiTheme="minorHAnsi" w:cstheme="minorHAnsi"/>
          <w:sz w:val="18"/>
          <w:szCs w:val="18"/>
        </w:rPr>
        <w:t xml:space="preserve"> </w:t>
      </w:r>
      <w:r w:rsidRPr="00FA1673">
        <w:rPr>
          <w:rFonts w:asciiTheme="minorHAnsi" w:hAnsiTheme="minorHAnsi" w:cstheme="minorHAnsi"/>
          <w:sz w:val="14"/>
          <w:szCs w:val="14"/>
        </w:rPr>
        <w:t>Skupinou se dle výkladu Evropské komise rozumí hospodářská entita se společným zdrojem kontroly, tzn. celá skupina propojených subjektů, mezi kterými existují ovládací vztahy.</w:t>
      </w:r>
    </w:p>
    <w:p w:rsidR="00C22504" w:rsidRPr="00FA1673" w:rsidP="00C22504" w14:paraId="00DD50E5" w14:textId="77777777">
      <w:pPr>
        <w:pStyle w:val="EndnoteText"/>
        <w:rPr>
          <w:rFonts w:asciiTheme="minorHAnsi" w:hAnsiTheme="minorHAnsi" w:cstheme="minorHAnsi"/>
        </w:rPr>
      </w:pPr>
    </w:p>
  </w:endnote>
  <w:endnote w:id="3">
    <w:p w:rsidR="00C22504" w:rsidRPr="00FA1673" w:rsidP="00C22504" w14:paraId="45750C33" w14:textId="77777777">
      <w:pPr>
        <w:pStyle w:val="ListParagraph"/>
        <w:overflowPunct w:val="0"/>
        <w:autoSpaceDE w:val="0"/>
        <w:autoSpaceDN w:val="0"/>
        <w:adjustRightInd w:val="0"/>
        <w:spacing w:line="240" w:lineRule="auto"/>
        <w:textAlignment w:val="baseline"/>
        <w:rPr>
          <w:rFonts w:asciiTheme="minorHAnsi" w:hAnsiTheme="minorHAnsi" w:cstheme="minorHAnsi"/>
          <w:sz w:val="14"/>
          <w:szCs w:val="14"/>
        </w:rPr>
      </w:pPr>
      <w:r w:rsidRPr="00FA1673">
        <w:rPr>
          <w:rStyle w:val="EndnoteReference"/>
          <w:rFonts w:asciiTheme="minorHAnsi" w:hAnsiTheme="minorHAnsi" w:cstheme="minorHAnsi"/>
          <w:sz w:val="18"/>
          <w:szCs w:val="18"/>
        </w:rPr>
        <w:endnoteRef/>
      </w:r>
      <w:r w:rsidRPr="00FA1673">
        <w:rPr>
          <w:rFonts w:asciiTheme="minorHAnsi" w:hAnsiTheme="minorHAnsi" w:cstheme="minorHAnsi"/>
          <w:sz w:val="18"/>
          <w:szCs w:val="18"/>
        </w:rPr>
        <w:t xml:space="preserve"> </w:t>
      </w:r>
      <w:r w:rsidRPr="00FA1673">
        <w:rPr>
          <w:rFonts w:asciiTheme="minorHAnsi" w:hAnsiTheme="minorHAnsi" w:cstheme="minorHAnsi"/>
          <w:sz w:val="14"/>
          <w:szCs w:val="14"/>
        </w:rPr>
        <w:t>Podnikem v obtížích se podle Nařízení Komise (EU) č. 651/2014 ze zde 17. června 2014, článku 2, bodu 18 rozumí podnik, v jehož případě nastane alespoň jedna z následujících okolností:</w:t>
      </w:r>
    </w:p>
    <w:p w:rsidR="00C22504" w:rsidRPr="00FA1673" w:rsidP="00C22504" w14:paraId="3661E469" w14:textId="77777777">
      <w:pPr>
        <w:pStyle w:val="ListParagraph"/>
        <w:spacing w:line="240" w:lineRule="auto"/>
        <w:rPr>
          <w:rFonts w:asciiTheme="minorHAnsi" w:hAnsiTheme="minorHAnsi" w:cstheme="minorHAnsi"/>
          <w:sz w:val="14"/>
          <w:szCs w:val="14"/>
        </w:rPr>
      </w:pPr>
    </w:p>
    <w:p w:rsidR="00C22504" w:rsidRPr="00FA1673" w:rsidP="00C22504" w14:paraId="648453F4" w14:textId="77777777">
      <w:pPr>
        <w:pStyle w:val="ListParagraph"/>
        <w:numPr>
          <w:ilvl w:val="1"/>
          <w:numId w:val="2"/>
        </w:numPr>
        <w:overflowPunct w:val="0"/>
        <w:autoSpaceDE w:val="0"/>
        <w:autoSpaceDN w:val="0"/>
        <w:adjustRightInd w:val="0"/>
        <w:spacing w:line="240" w:lineRule="auto"/>
        <w:textAlignment w:val="baseline"/>
        <w:rPr>
          <w:rFonts w:asciiTheme="minorHAnsi" w:hAnsiTheme="minorHAnsi" w:cstheme="minorHAnsi"/>
          <w:sz w:val="14"/>
          <w:szCs w:val="14"/>
        </w:rPr>
      </w:pPr>
      <w:r w:rsidRPr="00FA1673">
        <w:rPr>
          <w:rFonts w:asciiTheme="minorHAnsi" w:hAnsiTheme="minorHAnsi" w:cstheme="minorHAnsi"/>
          <w:sz w:val="14"/>
          <w:szCs w:val="14"/>
        </w:rPr>
        <w:t xml:space="preserve">V případě společnosti s ručením omezeným (která není malým nebo středním podnikem, jehož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 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I směrnice 2013/34/EU a „základní kapitál“ zahrnuje případně jakékoli emisní ážio. </w:t>
      </w:r>
    </w:p>
    <w:p w:rsidR="00C22504" w:rsidRPr="00FA1673" w:rsidP="00C22504" w14:paraId="4395A03E" w14:textId="77777777">
      <w:pPr>
        <w:pStyle w:val="ListParagraph"/>
        <w:spacing w:line="240" w:lineRule="auto"/>
        <w:ind w:left="1440"/>
        <w:rPr>
          <w:rFonts w:asciiTheme="minorHAnsi" w:hAnsiTheme="minorHAnsi" w:cstheme="minorHAnsi"/>
          <w:sz w:val="14"/>
          <w:szCs w:val="14"/>
        </w:rPr>
      </w:pPr>
    </w:p>
    <w:p w:rsidR="00C22504" w:rsidRPr="00FA1673" w:rsidP="00C22504" w14:paraId="5E3133E0" w14:textId="77777777">
      <w:pPr>
        <w:pStyle w:val="ListParagraph"/>
        <w:numPr>
          <w:ilvl w:val="1"/>
          <w:numId w:val="2"/>
        </w:numPr>
        <w:overflowPunct w:val="0"/>
        <w:autoSpaceDE w:val="0"/>
        <w:autoSpaceDN w:val="0"/>
        <w:adjustRightInd w:val="0"/>
        <w:spacing w:line="240" w:lineRule="auto"/>
        <w:textAlignment w:val="baseline"/>
        <w:rPr>
          <w:rFonts w:asciiTheme="minorHAnsi" w:hAnsiTheme="minorHAnsi" w:cstheme="minorHAnsi"/>
          <w:sz w:val="14"/>
          <w:szCs w:val="14"/>
        </w:rPr>
      </w:pPr>
      <w:r w:rsidRPr="00FA1673">
        <w:rPr>
          <w:rFonts w:asciiTheme="minorHAnsi" w:hAnsiTheme="minorHAnsi" w:cstheme="minorHAnsi"/>
          <w:sz w:val="14"/>
          <w:szCs w:val="14"/>
        </w:rPr>
        <w:t xml:space="preserve">V případě společnosti, v níž alespoň někteří společníci plně ručí za závazky společnosti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 </w:t>
      </w:r>
    </w:p>
    <w:p w:rsidR="00C22504" w:rsidRPr="00FA1673" w:rsidP="00C22504" w14:paraId="20A011E9" w14:textId="77777777">
      <w:pPr>
        <w:pStyle w:val="ListParagraph"/>
        <w:spacing w:line="240" w:lineRule="auto"/>
        <w:rPr>
          <w:rFonts w:asciiTheme="minorHAnsi" w:hAnsiTheme="minorHAnsi" w:cstheme="minorHAnsi"/>
          <w:sz w:val="14"/>
          <w:szCs w:val="14"/>
        </w:rPr>
      </w:pPr>
    </w:p>
    <w:p w:rsidR="00C22504" w:rsidRPr="00FA1673" w:rsidP="00C22504" w14:paraId="37DBE2F3" w14:textId="77777777">
      <w:pPr>
        <w:pStyle w:val="ListParagraph"/>
        <w:spacing w:line="240" w:lineRule="auto"/>
        <w:ind w:left="1440"/>
        <w:rPr>
          <w:rFonts w:asciiTheme="minorHAnsi" w:hAnsiTheme="minorHAnsi" w:cstheme="minorHAnsi"/>
          <w:sz w:val="14"/>
          <w:szCs w:val="14"/>
        </w:rPr>
      </w:pPr>
    </w:p>
    <w:p w:rsidR="00C22504" w:rsidRPr="00FA1673" w:rsidP="00C22504" w14:paraId="099E4CD0" w14:textId="77777777">
      <w:pPr>
        <w:pStyle w:val="ListParagraph"/>
        <w:numPr>
          <w:ilvl w:val="1"/>
          <w:numId w:val="2"/>
        </w:numPr>
        <w:overflowPunct w:val="0"/>
        <w:autoSpaceDE w:val="0"/>
        <w:autoSpaceDN w:val="0"/>
        <w:adjustRightInd w:val="0"/>
        <w:spacing w:line="240" w:lineRule="auto"/>
        <w:textAlignment w:val="baseline"/>
        <w:rPr>
          <w:rFonts w:asciiTheme="minorHAnsi" w:hAnsiTheme="minorHAnsi" w:cstheme="minorHAnsi"/>
          <w:sz w:val="14"/>
          <w:szCs w:val="14"/>
        </w:rPr>
      </w:pPr>
      <w:r w:rsidRPr="00FA1673">
        <w:rPr>
          <w:rFonts w:asciiTheme="minorHAnsi" w:hAnsiTheme="minorHAnsi" w:cstheme="minorHAnsi"/>
          <w:sz w:val="14"/>
          <w:szCs w:val="14"/>
        </w:rPr>
        <w:t xml:space="preserve">Jestliže vůči podniku bylo zahájeno kolektivní úpadkové řízení nebo tento podnik splňuje kritéria vnitrostátního práva pro zahájení kolektivního úpadkového řízení na žádost svých věřitelů. </w:t>
      </w:r>
    </w:p>
    <w:p w:rsidR="00C22504" w:rsidRPr="00FA1673" w:rsidP="00C22504" w14:paraId="18F57472" w14:textId="77777777">
      <w:pPr>
        <w:pStyle w:val="ListParagraph"/>
        <w:spacing w:line="240" w:lineRule="auto"/>
        <w:ind w:left="1440"/>
        <w:rPr>
          <w:rFonts w:asciiTheme="minorHAnsi" w:hAnsiTheme="minorHAnsi" w:cstheme="minorHAnsi"/>
          <w:sz w:val="14"/>
          <w:szCs w:val="14"/>
        </w:rPr>
      </w:pPr>
    </w:p>
    <w:p w:rsidR="00C22504" w:rsidRPr="00FA1673" w:rsidP="00C22504" w14:paraId="1B810BB0" w14:textId="77777777">
      <w:pPr>
        <w:pStyle w:val="ListParagraph"/>
        <w:numPr>
          <w:ilvl w:val="1"/>
          <w:numId w:val="2"/>
        </w:numPr>
        <w:overflowPunct w:val="0"/>
        <w:autoSpaceDE w:val="0"/>
        <w:autoSpaceDN w:val="0"/>
        <w:adjustRightInd w:val="0"/>
        <w:spacing w:line="240" w:lineRule="auto"/>
        <w:textAlignment w:val="baseline"/>
        <w:rPr>
          <w:rFonts w:asciiTheme="minorHAnsi" w:hAnsiTheme="minorHAnsi" w:cstheme="minorHAnsi"/>
          <w:sz w:val="14"/>
          <w:szCs w:val="14"/>
        </w:rPr>
      </w:pPr>
      <w:r w:rsidRPr="00FA1673">
        <w:rPr>
          <w:rFonts w:asciiTheme="minorHAnsi" w:hAnsiTheme="minorHAnsi" w:cstheme="minorHAnsi"/>
          <w:sz w:val="14"/>
          <w:szCs w:val="14"/>
        </w:rPr>
        <w:t xml:space="preserve">Jestliže podnik obdržel podporu na záchranu a zatím nesplatil půjčku nebo neukončil záruku nebo jestliže obdržel podporu na restrukturalizaci a stále se na něj uplatňuje plán restrukturalizace.  </w:t>
      </w:r>
    </w:p>
    <w:p w:rsidR="00C22504" w:rsidRPr="00FA1673" w:rsidP="00C22504" w14:paraId="40AA2359" w14:textId="77777777">
      <w:pPr>
        <w:pStyle w:val="ListParagraph"/>
        <w:spacing w:line="240" w:lineRule="auto"/>
        <w:ind w:left="1440"/>
        <w:rPr>
          <w:rFonts w:asciiTheme="minorHAnsi" w:hAnsiTheme="minorHAnsi" w:cstheme="minorHAnsi"/>
          <w:sz w:val="14"/>
          <w:szCs w:val="14"/>
        </w:rPr>
      </w:pPr>
    </w:p>
    <w:p w:rsidR="00C22504" w:rsidRPr="00FA1673" w:rsidP="00C22504" w14:paraId="5A1AE0F3" w14:textId="77777777">
      <w:pPr>
        <w:pStyle w:val="ListParagraph"/>
        <w:numPr>
          <w:ilvl w:val="1"/>
          <w:numId w:val="2"/>
        </w:numPr>
        <w:overflowPunct w:val="0"/>
        <w:autoSpaceDE w:val="0"/>
        <w:autoSpaceDN w:val="0"/>
        <w:adjustRightInd w:val="0"/>
        <w:spacing w:line="240" w:lineRule="auto"/>
        <w:textAlignment w:val="baseline"/>
        <w:rPr>
          <w:rFonts w:asciiTheme="minorHAnsi" w:hAnsiTheme="minorHAnsi" w:cstheme="minorHAnsi"/>
          <w:sz w:val="14"/>
          <w:szCs w:val="14"/>
        </w:rPr>
      </w:pPr>
      <w:r w:rsidRPr="00FA1673">
        <w:rPr>
          <w:rFonts w:asciiTheme="minorHAnsi" w:hAnsiTheme="minorHAnsi" w:cstheme="minorHAnsi"/>
          <w:sz w:val="14"/>
          <w:szCs w:val="14"/>
        </w:rPr>
        <w:t xml:space="preserve">V případě podniku, který není malým nebo středním podnikem, kde v uplynulých dvou letech: </w:t>
      </w:r>
    </w:p>
    <w:p w:rsidR="00C22504" w:rsidRPr="00FA1673" w:rsidP="00C22504" w14:paraId="5434BF64" w14:textId="77777777">
      <w:pPr>
        <w:pStyle w:val="ListParagraph"/>
        <w:numPr>
          <w:ilvl w:val="2"/>
          <w:numId w:val="2"/>
        </w:numPr>
        <w:overflowPunct w:val="0"/>
        <w:autoSpaceDE w:val="0"/>
        <w:autoSpaceDN w:val="0"/>
        <w:adjustRightInd w:val="0"/>
        <w:spacing w:line="240" w:lineRule="auto"/>
        <w:textAlignment w:val="baseline"/>
        <w:rPr>
          <w:rFonts w:asciiTheme="minorHAnsi" w:hAnsiTheme="minorHAnsi" w:cstheme="minorHAnsi"/>
          <w:sz w:val="14"/>
          <w:szCs w:val="14"/>
        </w:rPr>
      </w:pPr>
      <w:r w:rsidRPr="00FA1673">
        <w:rPr>
          <w:rFonts w:asciiTheme="minorHAnsi" w:hAnsiTheme="minorHAnsi" w:cstheme="minorHAnsi"/>
          <w:sz w:val="14"/>
          <w:szCs w:val="14"/>
        </w:rPr>
        <w:t>účetní poměr dluhu společnosti k vlastnímu kapitálu je vyšší než 7,5 a</w:t>
      </w:r>
    </w:p>
    <w:p w:rsidR="00C22504" w:rsidRPr="00FA1673" w:rsidP="00C22504" w14:paraId="069F3580" w14:textId="77777777">
      <w:pPr>
        <w:pStyle w:val="ListParagraph"/>
        <w:numPr>
          <w:ilvl w:val="2"/>
          <w:numId w:val="2"/>
        </w:numPr>
        <w:overflowPunct w:val="0"/>
        <w:autoSpaceDE w:val="0"/>
        <w:autoSpaceDN w:val="0"/>
        <w:adjustRightInd w:val="0"/>
        <w:spacing w:line="240" w:lineRule="auto"/>
        <w:textAlignment w:val="baseline"/>
        <w:rPr>
          <w:rFonts w:asciiTheme="minorHAnsi" w:hAnsiTheme="minorHAnsi" w:cstheme="minorHAnsi"/>
          <w:sz w:val="14"/>
          <w:szCs w:val="14"/>
        </w:rPr>
      </w:pPr>
      <w:r w:rsidRPr="00FA1673">
        <w:rPr>
          <w:rFonts w:asciiTheme="minorHAnsi" w:hAnsiTheme="minorHAnsi" w:cstheme="minorHAnsi"/>
          <w:sz w:val="14"/>
          <w:szCs w:val="14"/>
        </w:rPr>
        <w:t>poměr úrokového krytí hospodářského výsledku společnosti před úroky, zdaněním a odpisy (EBITDA) je nižší než 1,0.</w:t>
      </w:r>
    </w:p>
    <w:p w:rsidR="00C22504" w:rsidRPr="00FA1673" w:rsidP="00C22504" w14:paraId="24D41EA2" w14:textId="77777777">
      <w:pPr>
        <w:overflowPunct w:val="0"/>
        <w:autoSpaceDE w:val="0"/>
        <w:autoSpaceDN w:val="0"/>
        <w:adjustRightInd w:val="0"/>
        <w:spacing w:line="240" w:lineRule="auto"/>
        <w:textAlignment w:val="baseline"/>
        <w:rPr>
          <w:rFonts w:asciiTheme="minorHAnsi" w:hAnsiTheme="minorHAnsi" w:cstheme="minorHAnsi"/>
          <w:sz w:val="14"/>
          <w:szCs w:val="14"/>
        </w:rPr>
      </w:pPr>
    </w:p>
    <w:p w:rsidR="00C22504" w:rsidRPr="00FA1673" w:rsidP="00C22504" w14:paraId="78A7E9FD" w14:textId="77777777">
      <w:pPr>
        <w:overflowPunct w:val="0"/>
        <w:autoSpaceDE w:val="0"/>
        <w:autoSpaceDN w:val="0"/>
        <w:adjustRightInd w:val="0"/>
        <w:spacing w:line="240" w:lineRule="auto"/>
        <w:textAlignment w:val="baseline"/>
        <w:rPr>
          <w:rFonts w:asciiTheme="minorHAnsi" w:hAnsiTheme="minorHAnsi" w:cstheme="minorHAnsi"/>
          <w:sz w:val="14"/>
          <w:szCs w:val="14"/>
        </w:rPr>
      </w:pPr>
    </w:p>
  </w:endnote>
  <w:endnote w:id="4">
    <w:p w:rsidR="00654EDC" w:rsidRPr="00FA1673" w14:paraId="259697DA" w14:textId="68BC15E9">
      <w:pPr>
        <w:pStyle w:val="EndnoteText"/>
        <w:rPr>
          <w:rFonts w:asciiTheme="minorHAnsi" w:hAnsiTheme="minorHAnsi" w:cstheme="minorHAnsi"/>
          <w:sz w:val="14"/>
          <w:szCs w:val="14"/>
        </w:rPr>
      </w:pPr>
      <w:r w:rsidRPr="00FA1673">
        <w:rPr>
          <w:rStyle w:val="EndnoteReference"/>
          <w:rFonts w:asciiTheme="minorHAnsi" w:hAnsiTheme="minorHAnsi" w:cstheme="minorHAnsi"/>
        </w:rPr>
        <w:endnoteRef/>
      </w:r>
      <w:r w:rsidRPr="00FA1673">
        <w:rPr>
          <w:rFonts w:asciiTheme="minorHAnsi" w:hAnsiTheme="minorHAnsi" w:cstheme="minorHAnsi"/>
          <w:sz w:val="14"/>
          <w:szCs w:val="14"/>
        </w:rPr>
        <w:t xml:space="preserve"> </w:t>
      </w:r>
      <w:r w:rsidR="00A40FA3">
        <w:rPr>
          <w:rFonts w:asciiTheme="minorHAnsi" w:hAnsiTheme="minorHAnsi" w:cstheme="minorHAnsi"/>
          <w:sz w:val="14"/>
          <w:szCs w:val="14"/>
        </w:rPr>
        <w:t>Podle n</w:t>
      </w:r>
      <w:r w:rsidRPr="00FA1673">
        <w:rPr>
          <w:rFonts w:asciiTheme="minorHAnsi" w:hAnsiTheme="minorHAnsi" w:cstheme="minorHAnsi"/>
          <w:sz w:val="14"/>
          <w:szCs w:val="14"/>
        </w:rPr>
        <w:t xml:space="preserve">ařízení Komise (EU) č. 651/2014 ze dne 17. června 2014, článku 1, bodu 3 se </w:t>
      </w:r>
      <w:r w:rsidR="00A40FA3">
        <w:rPr>
          <w:rFonts w:asciiTheme="minorHAnsi" w:hAnsiTheme="minorHAnsi" w:cstheme="minorHAnsi"/>
          <w:sz w:val="14"/>
          <w:szCs w:val="14"/>
        </w:rPr>
        <w:t xml:space="preserve">toto nařízení </w:t>
      </w:r>
      <w:r w:rsidRPr="00FA1673">
        <w:rPr>
          <w:rFonts w:asciiTheme="minorHAnsi" w:hAnsiTheme="minorHAnsi" w:cstheme="minorHAnsi"/>
          <w:sz w:val="14"/>
          <w:szCs w:val="14"/>
        </w:rPr>
        <w:t>nepoužije na podporu:</w:t>
      </w:r>
    </w:p>
    <w:p w:rsidR="00C22504" w:rsidRPr="00FA1673" w:rsidP="00A03E94" w14:paraId="143B3DC9" w14:textId="1AC19C4D">
      <w:pPr>
        <w:pStyle w:val="EndnoteText"/>
        <w:rPr>
          <w:rFonts w:asciiTheme="minorHAnsi" w:hAnsiTheme="minorHAnsi" w:cstheme="minorHAnsi"/>
          <w:color w:val="000000"/>
          <w:sz w:val="14"/>
          <w:szCs w:val="14"/>
        </w:rPr>
      </w:pPr>
      <w:r w:rsidRPr="00FA1673">
        <w:rPr>
          <w:rFonts w:asciiTheme="minorHAnsi" w:hAnsiTheme="minorHAnsi" w:cstheme="minorHAnsi"/>
          <w:sz w:val="14"/>
          <w:szCs w:val="14"/>
        </w:rPr>
        <w:t>p</w:t>
      </w:r>
      <w:r w:rsidRPr="00FA1673">
        <w:rPr>
          <w:rFonts w:asciiTheme="minorHAnsi" w:hAnsiTheme="minorHAnsi" w:cstheme="minorHAnsi"/>
          <w:color w:val="000000"/>
          <w:sz w:val="14"/>
          <w:szCs w:val="14"/>
        </w:rPr>
        <w:t>ísm. a) poskytnutou v </w:t>
      </w:r>
      <w:r w:rsidRPr="00FA1673">
        <w:rPr>
          <w:rFonts w:asciiTheme="minorHAnsi" w:hAnsiTheme="minorHAnsi" w:cstheme="minorHAnsi"/>
          <w:sz w:val="14"/>
          <w:szCs w:val="14"/>
        </w:rPr>
        <w:t>odvětví</w:t>
      </w:r>
      <w:r w:rsidRPr="00FA1673">
        <w:rPr>
          <w:rFonts w:asciiTheme="minorHAnsi" w:hAnsiTheme="minorHAnsi" w:cstheme="minorHAnsi"/>
          <w:color w:val="000000"/>
          <w:sz w:val="14"/>
          <w:szCs w:val="14"/>
        </w:rPr>
        <w:t xml:space="preserve"> rybolovu a akvakultury v oblasti působnosti nařízení Evropského parlamentu a Rady (EU) č. 1379/201</w:t>
      </w:r>
      <w:r w:rsidRPr="00FA1673" w:rsidR="00A03E94">
        <w:rPr>
          <w:rFonts w:asciiTheme="minorHAnsi" w:hAnsiTheme="minorHAnsi" w:cstheme="minorHAnsi"/>
          <w:color w:val="000000"/>
          <w:sz w:val="14"/>
          <w:szCs w:val="14"/>
        </w:rPr>
        <w:t xml:space="preserve"> (výjimky viz nařízení Komise (EU) č. 651/2014)</w:t>
      </w:r>
      <w:r w:rsidRPr="00FA1673" w:rsidR="00052395">
        <w:rPr>
          <w:rFonts w:asciiTheme="minorHAnsi" w:hAnsiTheme="minorHAnsi" w:cstheme="minorHAnsi"/>
          <w:sz w:val="14"/>
          <w:szCs w:val="14"/>
        </w:rPr>
        <w:t>;</w:t>
      </w:r>
    </w:p>
    <w:p w:rsidR="00052395" w:rsidRPr="00FA1673" w:rsidP="00A03E94" w14:paraId="537A46CB" w14:textId="1D37C8A9">
      <w:pPr>
        <w:pStyle w:val="EndnoteText"/>
        <w:rPr>
          <w:rFonts w:asciiTheme="minorHAnsi" w:hAnsiTheme="minorHAnsi" w:cstheme="minorHAnsi"/>
          <w:sz w:val="14"/>
          <w:szCs w:val="14"/>
        </w:rPr>
      </w:pPr>
      <w:r w:rsidRPr="00FA1673">
        <w:rPr>
          <w:rFonts w:asciiTheme="minorHAnsi" w:hAnsiTheme="minorHAnsi" w:cstheme="minorHAnsi"/>
          <w:sz w:val="14"/>
          <w:szCs w:val="14"/>
        </w:rPr>
        <w:t xml:space="preserve">písm. b) poskytnutou </w:t>
      </w:r>
      <w:r w:rsidRPr="00FA1673" w:rsidR="00A03E94">
        <w:rPr>
          <w:rFonts w:asciiTheme="minorHAnsi" w:hAnsiTheme="minorHAnsi" w:cstheme="minorHAnsi"/>
          <w:sz w:val="14"/>
          <w:szCs w:val="14"/>
        </w:rPr>
        <w:t>v odvětví zemědělské prvovýroby (výjimky viz nařízení Komise (EU) č. 651/2014);</w:t>
      </w:r>
    </w:p>
    <w:p w:rsidR="00A03E94" w:rsidRPr="00FA1673" w:rsidP="00A03E94" w14:paraId="5A0F4D95" w14:textId="23B5342C">
      <w:pPr>
        <w:pStyle w:val="EndnoteText"/>
        <w:rPr>
          <w:rFonts w:asciiTheme="minorHAnsi" w:hAnsiTheme="minorHAnsi" w:cstheme="minorHAnsi"/>
          <w:sz w:val="14"/>
          <w:szCs w:val="14"/>
        </w:rPr>
      </w:pPr>
      <w:r w:rsidRPr="00FA1673">
        <w:rPr>
          <w:rFonts w:asciiTheme="minorHAnsi" w:hAnsiTheme="minorHAnsi" w:cstheme="minorHAnsi"/>
          <w:sz w:val="14"/>
          <w:szCs w:val="14"/>
        </w:rPr>
        <w:t>písm. c) poskytnutou v odvětví zpracování a uvádění zemědělských produktů na trh (podmínky viz nařízení Komise (EU) č.651/2014);</w:t>
      </w:r>
    </w:p>
    <w:p w:rsidR="00A03E94" w:rsidRPr="00FA1673" w:rsidP="00A03E94" w14:paraId="04C575F1" w14:textId="29473E58">
      <w:pPr>
        <w:pStyle w:val="EndnoteText"/>
        <w:rPr>
          <w:rFonts w:asciiTheme="minorHAnsi" w:hAnsiTheme="minorHAnsi" w:cstheme="minorHAnsi"/>
          <w:sz w:val="14"/>
          <w:szCs w:val="14"/>
        </w:rPr>
      </w:pPr>
      <w:r w:rsidRPr="00FA1673">
        <w:rPr>
          <w:rFonts w:asciiTheme="minorHAnsi" w:hAnsiTheme="minorHAnsi" w:cstheme="minorHAnsi"/>
          <w:sz w:val="14"/>
          <w:szCs w:val="14"/>
        </w:rPr>
        <w:t>písm. d) podporu k usnadnění uzavírání nekonkurenceschopných uhelných dolů podle rozhodnutí Rady 2010/787;</w:t>
      </w:r>
    </w:p>
    <w:p w:rsidR="00A03E94" w:rsidRPr="00FA1673" w:rsidP="00A03E94" w14:paraId="2D2F7309" w14:textId="799F4B8E">
      <w:pPr>
        <w:pStyle w:val="EndnoteText"/>
        <w:rPr>
          <w:rFonts w:asciiTheme="minorHAnsi" w:hAnsiTheme="minorHAnsi" w:cstheme="minorHAnsi"/>
          <w:sz w:val="14"/>
          <w:szCs w:val="14"/>
        </w:rPr>
      </w:pPr>
      <w:r w:rsidRPr="00FA1673">
        <w:rPr>
          <w:rFonts w:asciiTheme="minorHAnsi" w:hAnsiTheme="minorHAnsi" w:cstheme="minorHAnsi"/>
          <w:sz w:val="14"/>
          <w:szCs w:val="14"/>
        </w:rPr>
        <w:t>písm. e) kategorie regionální podpory v článku 13</w:t>
      </w:r>
    </w:p>
    <w:p w:rsidR="00A03E94" w:rsidRPr="00FA1673" w:rsidP="00A03E94" w14:paraId="6F22830A" w14:textId="1A0A0B99">
      <w:pPr>
        <w:pStyle w:val="EndnoteText"/>
        <w:rPr>
          <w:rFonts w:asciiTheme="minorHAnsi" w:hAnsiTheme="minorHAnsi" w:cstheme="minorHAnsi"/>
          <w:sz w:val="14"/>
          <w:szCs w:val="14"/>
        </w:rPr>
      </w:pPr>
    </w:p>
    <w:p w:rsidR="00B57784" w:rsidRPr="00FA1673" w:rsidP="00A03E94" w14:paraId="1D7594C4" w14:textId="065165A8">
      <w:pPr>
        <w:spacing w:line="240" w:lineRule="auto"/>
        <w:rPr>
          <w:rFonts w:asciiTheme="minorHAnsi" w:hAnsiTheme="minorHAnsi" w:cstheme="minorHAnsi"/>
          <w:color w:val="000000"/>
        </w:rPr>
      </w:pPr>
      <w:r>
        <w:rPr>
          <w:rFonts w:asciiTheme="minorHAnsi" w:hAnsiTheme="minorHAnsi" w:cstheme="minorHAnsi"/>
          <w:sz w:val="14"/>
          <w:szCs w:val="14"/>
        </w:rPr>
        <w:t>a dle č</w:t>
      </w:r>
      <w:r w:rsidRPr="00FA1673" w:rsidR="00A03E94">
        <w:rPr>
          <w:rFonts w:asciiTheme="minorHAnsi" w:hAnsiTheme="minorHAnsi" w:cstheme="minorHAnsi"/>
          <w:sz w:val="14"/>
          <w:szCs w:val="14"/>
        </w:rPr>
        <w:t>lánk</w:t>
      </w:r>
      <w:r>
        <w:rPr>
          <w:rFonts w:asciiTheme="minorHAnsi" w:hAnsiTheme="minorHAnsi" w:cstheme="minorHAnsi"/>
          <w:sz w:val="14"/>
          <w:szCs w:val="14"/>
        </w:rPr>
        <w:t>u</w:t>
      </w:r>
      <w:r w:rsidRPr="00FA1673" w:rsidR="00A03E94">
        <w:rPr>
          <w:rFonts w:asciiTheme="minorHAnsi" w:hAnsiTheme="minorHAnsi" w:cstheme="minorHAnsi"/>
          <w:sz w:val="14"/>
          <w:szCs w:val="14"/>
        </w:rPr>
        <w:t xml:space="preserve"> 13</w:t>
      </w:r>
      <w:r>
        <w:rPr>
          <w:rFonts w:asciiTheme="minorHAnsi" w:hAnsiTheme="minorHAnsi" w:cstheme="minorHAnsi"/>
          <w:sz w:val="14"/>
          <w:szCs w:val="14"/>
        </w:rPr>
        <w:t xml:space="preserve"> na</w:t>
      </w:r>
      <w:r w:rsidRPr="00FA1673" w:rsidR="00A03E94">
        <w:rPr>
          <w:rFonts w:asciiTheme="minorHAnsi" w:hAnsiTheme="minorHAnsi" w:cstheme="minorHAnsi"/>
          <w:sz w:val="14"/>
          <w:szCs w:val="14"/>
        </w:rPr>
        <w:t>:</w:t>
      </w:r>
      <w:r w:rsidRPr="00FA1673" w:rsidR="00A03E94">
        <w:rPr>
          <w:rFonts w:asciiTheme="minorHAnsi" w:hAnsiTheme="minorHAnsi" w:cstheme="minorHAnsi"/>
          <w:color w:val="000000"/>
        </w:rPr>
        <w:t xml:space="preserve"> </w:t>
      </w:r>
    </w:p>
    <w:p w:rsidR="00A03E94" w:rsidRPr="00FA1673" w:rsidP="00A03E94" w14:paraId="63F1D621" w14:textId="5E9F404C">
      <w:pPr>
        <w:spacing w:line="240" w:lineRule="auto"/>
        <w:rPr>
          <w:rFonts w:asciiTheme="minorHAnsi" w:hAnsiTheme="minorHAnsi" w:cstheme="minorHAnsi"/>
          <w:sz w:val="14"/>
          <w:szCs w:val="14"/>
        </w:rPr>
      </w:pPr>
      <w:r w:rsidRPr="00FA1673">
        <w:rPr>
          <w:rFonts w:asciiTheme="minorHAnsi" w:hAnsiTheme="minorHAnsi" w:cstheme="minorHAnsi"/>
          <w:sz w:val="14"/>
          <w:szCs w:val="14"/>
        </w:rPr>
        <w:t>písm. a)</w:t>
      </w:r>
      <w:r w:rsidRPr="00FA1673">
        <w:rPr>
          <w:rFonts w:asciiTheme="minorHAnsi" w:hAnsiTheme="minorHAnsi" w:cstheme="minorHAnsi"/>
          <w:color w:val="000000"/>
        </w:rPr>
        <w:t xml:space="preserve"> </w:t>
      </w:r>
      <w:r w:rsidRPr="00FA1673">
        <w:rPr>
          <w:rFonts w:asciiTheme="minorHAnsi" w:hAnsiTheme="minorHAnsi" w:cstheme="minorHAnsi"/>
          <w:sz w:val="14"/>
          <w:szCs w:val="14"/>
        </w:rPr>
        <w:t>podporu v odvětví oceli, v odvětví hnědého uhlí a v uhelném průmyslu;</w:t>
      </w:r>
    </w:p>
    <w:p w:rsidR="00A03E94" w:rsidRPr="00FA1673" w:rsidP="00B57784" w14:paraId="4384919A" w14:textId="661770C8">
      <w:pPr>
        <w:spacing w:line="240" w:lineRule="auto"/>
        <w:rPr>
          <w:rFonts w:asciiTheme="minorHAnsi" w:hAnsiTheme="minorHAnsi" w:cstheme="minorHAnsi"/>
          <w:sz w:val="14"/>
          <w:szCs w:val="14"/>
        </w:rPr>
      </w:pPr>
      <w:r w:rsidRPr="00FA1673">
        <w:rPr>
          <w:rFonts w:asciiTheme="minorHAnsi" w:hAnsiTheme="minorHAnsi" w:cstheme="minorHAnsi"/>
          <w:sz w:val="14"/>
          <w:szCs w:val="14"/>
        </w:rPr>
        <w:t xml:space="preserve">písm. </w:t>
      </w:r>
      <w:r w:rsidRPr="00FA1673">
        <w:rPr>
          <w:rFonts w:asciiTheme="minorHAnsi" w:hAnsiTheme="minorHAnsi" w:cstheme="minorHAnsi"/>
          <w:sz w:val="14"/>
          <w:szCs w:val="14"/>
        </w:rPr>
        <w:t>b) podporu v odvětví dopravy, jakož i v odvětví související infrastruktury, podporu na výrobu, ukládání, přenos a distribuci energie a na energetickou infrastrukturu, s výjimkou regionální investiční podpory v nejvzdálenějších regionech a režimů regionální provozní podpory, a podporu v odvětví širokopásmového připojení, s výjimkou režimů regionální provozní podpory;</w:t>
      </w:r>
    </w:p>
    <w:p w:rsidR="00A03E94" w:rsidRPr="00FA1673" w:rsidP="00B57784" w14:paraId="5B49FC8E" w14:textId="45311F79">
      <w:pPr>
        <w:spacing w:line="240" w:lineRule="auto"/>
        <w:rPr>
          <w:rFonts w:asciiTheme="minorHAnsi" w:hAnsiTheme="minorHAnsi" w:cstheme="minorHAnsi"/>
          <w:sz w:val="14"/>
          <w:szCs w:val="14"/>
        </w:rPr>
      </w:pPr>
      <w:r w:rsidRPr="00FA1673">
        <w:rPr>
          <w:rFonts w:asciiTheme="minorHAnsi" w:hAnsiTheme="minorHAnsi" w:cstheme="minorHAnsi"/>
          <w:sz w:val="14"/>
          <w:szCs w:val="14"/>
        </w:rPr>
        <w:t xml:space="preserve">písm. </w:t>
      </w:r>
      <w:r w:rsidRPr="00FA1673">
        <w:rPr>
          <w:rFonts w:asciiTheme="minorHAnsi" w:hAnsiTheme="minorHAnsi" w:cstheme="minorHAnsi"/>
          <w:sz w:val="14"/>
          <w:szCs w:val="14"/>
        </w:rPr>
        <w:t>c) regionální podporu ve formě režimů, které jsou zaměřeny na omezený počet zvláštních odvětví hospodářské činnosti; za režimy zaměřené na zvláštní odvětví hospodářské činnosti se nepovažují režimy zaměřené na cestovní ruch nebo zpracování a uvádění zemědělských produktů na trh;</w:t>
      </w:r>
    </w:p>
    <w:p w:rsidR="00052395" w:rsidRPr="00FA1673" w:rsidP="00B57784" w14:paraId="5BDD344E" w14:textId="1F2EE005">
      <w:pPr>
        <w:spacing w:line="240" w:lineRule="auto"/>
        <w:rPr>
          <w:rFonts w:asciiTheme="minorHAnsi" w:hAnsiTheme="minorHAnsi" w:cstheme="minorHAnsi"/>
          <w:sz w:val="14"/>
          <w:szCs w:val="14"/>
        </w:rPr>
      </w:pPr>
      <w:r w:rsidRPr="00FA1673">
        <w:rPr>
          <w:rFonts w:asciiTheme="minorHAnsi" w:hAnsiTheme="minorHAnsi" w:cstheme="minorHAnsi"/>
          <w:sz w:val="14"/>
          <w:szCs w:val="14"/>
        </w:rPr>
        <w:t xml:space="preserve">písm. </w:t>
      </w:r>
      <w:r w:rsidRPr="00FA1673" w:rsidR="00A03E94">
        <w:rPr>
          <w:rFonts w:asciiTheme="minorHAnsi" w:hAnsiTheme="minorHAnsi" w:cstheme="minorHAnsi"/>
          <w:sz w:val="14"/>
          <w:szCs w:val="14"/>
        </w:rPr>
        <w:t xml:space="preserve">d) regionální provozní podporu poskytnutou podnikům, jejichž hlavní činnosti spadají do sekce K „Peněžnictví a pojišťovnictví“ klasifikace NACE </w:t>
      </w:r>
      <w:r w:rsidRPr="00FA1673" w:rsidR="00A03E94">
        <w:rPr>
          <w:rFonts w:asciiTheme="minorHAnsi" w:hAnsiTheme="minorHAnsi" w:cstheme="minorHAnsi"/>
          <w:sz w:val="14"/>
          <w:szCs w:val="14"/>
        </w:rPr>
        <w:t>Rev</w:t>
      </w:r>
      <w:r w:rsidRPr="00FA1673" w:rsidR="00A03E94">
        <w:rPr>
          <w:rFonts w:asciiTheme="minorHAnsi" w:hAnsiTheme="minorHAnsi" w:cstheme="minorHAnsi"/>
          <w:sz w:val="14"/>
          <w:szCs w:val="14"/>
        </w:rPr>
        <w:t xml:space="preserve">. 2, nebo podnikům, které provádějí činnosti v rámci skupiny a jejichž hlavní činnosti spadají do třídy 70.10 „Činnosti vedení podniků“ nebo 70.22 „Ostatní poradenství v oblasti podnikání a řízení“ klasifikace NACE </w:t>
      </w:r>
      <w:r w:rsidRPr="00FA1673" w:rsidR="00A03E94">
        <w:rPr>
          <w:rFonts w:asciiTheme="minorHAnsi" w:hAnsiTheme="minorHAnsi" w:cstheme="minorHAnsi"/>
          <w:sz w:val="14"/>
          <w:szCs w:val="14"/>
        </w:rPr>
        <w:t>Rev</w:t>
      </w:r>
      <w:r w:rsidRPr="00FA1673" w:rsidR="00A03E94">
        <w:rPr>
          <w:rFonts w:asciiTheme="minorHAnsi" w:hAnsiTheme="minorHAnsi" w:cstheme="minorHAnsi"/>
          <w:sz w:val="14"/>
          <w:szCs w:val="14"/>
        </w:rPr>
        <w:t>. 2.</w:t>
      </w:r>
    </w:p>
    <w:p w:rsidR="00052395" w:rsidRPr="00FA1673" w14:paraId="5F85A68D" w14:textId="77777777">
      <w:pPr>
        <w:pStyle w:val="EndnoteText"/>
        <w:rPr>
          <w:rFonts w:asciiTheme="minorHAnsi" w:hAnsiTheme="minorHAnsi" w:cstheme="minorHAnsi"/>
        </w:rPr>
      </w:pPr>
    </w:p>
  </w:endnote>
  <w:endnote w:id="5">
    <w:p w:rsidR="00077455" w:rsidRPr="00FA1673" w:rsidP="00077455" w14:paraId="4CFA6FAF" w14:textId="056CF174">
      <w:pPr>
        <w:spacing w:line="240" w:lineRule="auto"/>
        <w:rPr>
          <w:rFonts w:asciiTheme="minorHAnsi" w:hAnsiTheme="minorHAnsi" w:cstheme="minorHAnsi"/>
          <w:color w:val="1F497D"/>
          <w:sz w:val="22"/>
          <w:szCs w:val="22"/>
        </w:rPr>
      </w:pPr>
      <w:r w:rsidRPr="00FA1673">
        <w:rPr>
          <w:rStyle w:val="EndnoteReference"/>
          <w:rFonts w:asciiTheme="minorHAnsi" w:hAnsiTheme="minorHAnsi" w:cstheme="minorHAnsi"/>
        </w:rPr>
        <w:endnoteRef/>
      </w:r>
      <w:r w:rsidRPr="00FA1673">
        <w:rPr>
          <w:rFonts w:asciiTheme="minorHAnsi" w:hAnsiTheme="minorHAnsi" w:cstheme="minorHAnsi"/>
        </w:rPr>
        <w:t xml:space="preserve"> </w:t>
      </w:r>
      <w:r w:rsidRPr="00FA1673">
        <w:rPr>
          <w:rFonts w:asciiTheme="minorHAnsi" w:hAnsiTheme="minorHAnsi" w:cstheme="minorHAnsi"/>
          <w:sz w:val="14"/>
          <w:szCs w:val="14"/>
        </w:rPr>
        <w:t>„Přemístěním“ se podle nařízení Komise (EU) č. 651/2014 ze dne 17. června 2014 rozumí převedení stejné nebo podobné činnosti, nebo její části z provozovny v jedné smluvní straně Dohody o EHP (původní provozovny) do provozovny, ve které se podporovaná investice uskutečňuje v jiné smluvní straně Dohody o EHP (podporované provozovny). O převedení se jedná, jestliže výrobek nebo služba v původní a v podporované provozovně slouží alespoň částečně stejným účelům a splňuje požadavky nebo potřeby stejného druhu zákazníků a ve stejné nebo podobné činnosti v jedné z původních provozoven příjemce (na úrovni skupiny) v EHP dojde ke ztrátě pracovních míst. Stejnou nebo podobnou činností se rozumí činnost provozovaná na úrovni skupiny, která je zařazená do stejné třídy (čtyřmístný číselný kód) Klasifikace ekonomických činností NACE. Skupinou se rozumí hospodářská entita se společným zdrojem kontroly, tzn. celá skupina propojených subjektů, mezi kterými existují ovládací vztahy</w:t>
      </w:r>
    </w:p>
    <w:p w:rsidR="00077455" w:rsidRPr="00FA1673" w:rsidP="00077455" w14:paraId="3E9B6524" w14:textId="77777777">
      <w:pPr>
        <w:pStyle w:val="EndnoteText"/>
        <w:ind w:left="0" w:firstLine="0"/>
        <w:rPr>
          <w:rFonts w:asciiTheme="minorHAnsi" w:hAnsiTheme="minorHAnsi" w:cs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A9B" w:rsidRPr="00F27A9B" w14:paraId="78D42A87" w14:textId="6415A42C">
    <w:pPr>
      <w:pStyle w:val="Header"/>
      <w:rPr>
        <w:rFonts w:asciiTheme="minorHAnsi" w:hAnsiTheme="minorHAnsi" w:cstheme="minorHAnsi"/>
        <w:b/>
        <w:bCs/>
        <w:sz w:val="22"/>
        <w:szCs w:val="22"/>
      </w:rPr>
    </w:pPr>
    <w:r w:rsidRPr="00F27A9B">
      <w:rPr>
        <w:rFonts w:asciiTheme="minorHAnsi" w:hAnsiTheme="minorHAnsi" w:cstheme="minorHAnsi"/>
        <w:b/>
        <w:bCs/>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59132E"/>
    <w:multiLevelType w:val="hybridMultilevel"/>
    <w:tmpl w:val="DAC40E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8925A6"/>
    <w:multiLevelType w:val="hybridMultilevel"/>
    <w:tmpl w:val="4AE4A3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472D64"/>
    <w:multiLevelType w:val="hybridMultilevel"/>
    <w:tmpl w:val="366C4E2C"/>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B97B80"/>
    <w:multiLevelType w:val="hybridMultilevel"/>
    <w:tmpl w:val="5BCE6770"/>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F8"/>
    <w:rsid w:val="0003034F"/>
    <w:rsid w:val="00052395"/>
    <w:rsid w:val="00075AA4"/>
    <w:rsid w:val="000769BF"/>
    <w:rsid w:val="00077455"/>
    <w:rsid w:val="000A6F2F"/>
    <w:rsid w:val="000A7BB9"/>
    <w:rsid w:val="000F5011"/>
    <w:rsid w:val="00103ED0"/>
    <w:rsid w:val="00134B59"/>
    <w:rsid w:val="00145535"/>
    <w:rsid w:val="00146D6A"/>
    <w:rsid w:val="001602BF"/>
    <w:rsid w:val="0019625B"/>
    <w:rsid w:val="001C1D10"/>
    <w:rsid w:val="001E26E3"/>
    <w:rsid w:val="00201A7F"/>
    <w:rsid w:val="00202822"/>
    <w:rsid w:val="00254632"/>
    <w:rsid w:val="00254742"/>
    <w:rsid w:val="00255B7A"/>
    <w:rsid w:val="00272E47"/>
    <w:rsid w:val="0027432C"/>
    <w:rsid w:val="002913D9"/>
    <w:rsid w:val="002E1736"/>
    <w:rsid w:val="003101F8"/>
    <w:rsid w:val="00340974"/>
    <w:rsid w:val="003463B5"/>
    <w:rsid w:val="00346502"/>
    <w:rsid w:val="0037424F"/>
    <w:rsid w:val="003E00FD"/>
    <w:rsid w:val="003F2B76"/>
    <w:rsid w:val="0040797D"/>
    <w:rsid w:val="00427620"/>
    <w:rsid w:val="00440E25"/>
    <w:rsid w:val="004475BB"/>
    <w:rsid w:val="00452958"/>
    <w:rsid w:val="004553D3"/>
    <w:rsid w:val="0045777C"/>
    <w:rsid w:val="00471970"/>
    <w:rsid w:val="004772CC"/>
    <w:rsid w:val="00483A87"/>
    <w:rsid w:val="00490020"/>
    <w:rsid w:val="00496087"/>
    <w:rsid w:val="004A28FD"/>
    <w:rsid w:val="004A44DF"/>
    <w:rsid w:val="004C016F"/>
    <w:rsid w:val="005230CE"/>
    <w:rsid w:val="0057421A"/>
    <w:rsid w:val="00594C0C"/>
    <w:rsid w:val="005E6B60"/>
    <w:rsid w:val="00612733"/>
    <w:rsid w:val="00623145"/>
    <w:rsid w:val="0063607C"/>
    <w:rsid w:val="00654EDC"/>
    <w:rsid w:val="00667AF5"/>
    <w:rsid w:val="00677A09"/>
    <w:rsid w:val="006A3D0A"/>
    <w:rsid w:val="006B5D05"/>
    <w:rsid w:val="006D404F"/>
    <w:rsid w:val="00742156"/>
    <w:rsid w:val="00772C53"/>
    <w:rsid w:val="00772D43"/>
    <w:rsid w:val="007D55E4"/>
    <w:rsid w:val="007E6C01"/>
    <w:rsid w:val="007F1504"/>
    <w:rsid w:val="008114A9"/>
    <w:rsid w:val="0083388E"/>
    <w:rsid w:val="008514B3"/>
    <w:rsid w:val="0085618F"/>
    <w:rsid w:val="008700A4"/>
    <w:rsid w:val="00885600"/>
    <w:rsid w:val="008C04A7"/>
    <w:rsid w:val="008C1078"/>
    <w:rsid w:val="008C2251"/>
    <w:rsid w:val="008C48C8"/>
    <w:rsid w:val="00916ED7"/>
    <w:rsid w:val="00952E21"/>
    <w:rsid w:val="00983741"/>
    <w:rsid w:val="009A7A3F"/>
    <w:rsid w:val="00A03E94"/>
    <w:rsid w:val="00A12004"/>
    <w:rsid w:val="00A40FA3"/>
    <w:rsid w:val="00A50CAC"/>
    <w:rsid w:val="00A86F5B"/>
    <w:rsid w:val="00A9257C"/>
    <w:rsid w:val="00AB1E34"/>
    <w:rsid w:val="00AD24A2"/>
    <w:rsid w:val="00AD7CB7"/>
    <w:rsid w:val="00AF29B9"/>
    <w:rsid w:val="00B071A4"/>
    <w:rsid w:val="00B47258"/>
    <w:rsid w:val="00B51E1B"/>
    <w:rsid w:val="00B57784"/>
    <w:rsid w:val="00B768DD"/>
    <w:rsid w:val="00B80D93"/>
    <w:rsid w:val="00B90805"/>
    <w:rsid w:val="00B9313D"/>
    <w:rsid w:val="00BD4AE7"/>
    <w:rsid w:val="00BE0819"/>
    <w:rsid w:val="00BE0D39"/>
    <w:rsid w:val="00C067A5"/>
    <w:rsid w:val="00C10E50"/>
    <w:rsid w:val="00C13183"/>
    <w:rsid w:val="00C22504"/>
    <w:rsid w:val="00C246F0"/>
    <w:rsid w:val="00C55B22"/>
    <w:rsid w:val="00C56AB5"/>
    <w:rsid w:val="00C60B16"/>
    <w:rsid w:val="00C6729B"/>
    <w:rsid w:val="00C767A2"/>
    <w:rsid w:val="00C800BE"/>
    <w:rsid w:val="00CA7D34"/>
    <w:rsid w:val="00D22130"/>
    <w:rsid w:val="00D41004"/>
    <w:rsid w:val="00D424B9"/>
    <w:rsid w:val="00D425FC"/>
    <w:rsid w:val="00D679AB"/>
    <w:rsid w:val="00D86C55"/>
    <w:rsid w:val="00D872A1"/>
    <w:rsid w:val="00D9209C"/>
    <w:rsid w:val="00DB0A2D"/>
    <w:rsid w:val="00DB3D01"/>
    <w:rsid w:val="00E03814"/>
    <w:rsid w:val="00E30CF5"/>
    <w:rsid w:val="00E526E1"/>
    <w:rsid w:val="00E726E5"/>
    <w:rsid w:val="00EB20EB"/>
    <w:rsid w:val="00EB25B3"/>
    <w:rsid w:val="00EB6378"/>
    <w:rsid w:val="00F27A9B"/>
    <w:rsid w:val="00F442B5"/>
    <w:rsid w:val="00F63185"/>
    <w:rsid w:val="00F713FB"/>
    <w:rsid w:val="00F738CC"/>
    <w:rsid w:val="00FA1673"/>
    <w:rsid w:val="00FA40A3"/>
    <w:rsid w:val="00FA5142"/>
    <w:rsid w:val="00FB6449"/>
    <w:rsid w:val="00FD30E3"/>
  </w:rsids>
  <m:mathPr>
    <m:mathFont m:val="Cambria Math"/>
  </m:mathPr>
  <w:themeFontLang w:val="cs-CZ" w:eastAsia="ja-JP"/>
  <w:clrSchemeMapping w:bg1="light1" w:t1="dark1" w:bg2="light2" w:t2="dark2" w:accent1="accent1" w:accent2="accent2" w:accent3="accent3" w:accent4="accent4" w:accent5="accent5" w:accent6="accent6" w:hyperlink="hyperlink" w:followedHyperlink="followedHyperlink"/>
  <w15:docId w15:val="{23B02420-3233-4119-92C1-3CC876C7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360" w:lineRule="auto"/>
        <w:ind w:left="714" w:hanging="35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F8"/>
    <w:rPr>
      <w:rFonts w:ascii="Times New Roman" w:eastAsia="Times New Roman" w:hAnsi="Times New Roman" w:cs="Times New Roman"/>
      <w:sz w:val="24"/>
      <w:szCs w:val="24"/>
      <w:lang w:eastAsia="cs-CZ"/>
    </w:rPr>
  </w:style>
  <w:style w:type="paragraph" w:styleId="Heading1">
    <w:name w:val="heading 1"/>
    <w:basedOn w:val="Normal"/>
    <w:next w:val="Normal"/>
    <w:link w:val="Nadpis1Char"/>
    <w:uiPriority w:val="99"/>
    <w:qFormat/>
    <w:rsid w:val="003101F8"/>
    <w:pPr>
      <w:keepNext/>
      <w:overflowPunct w:val="0"/>
      <w:autoSpaceDE w:val="0"/>
      <w:autoSpaceDN w:val="0"/>
      <w:adjustRightInd w:val="0"/>
      <w:textAlignment w:val="baseline"/>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rsid w:val="003101F8"/>
    <w:rPr>
      <w:rFonts w:ascii="Times New Roman" w:eastAsia="Times New Roman" w:hAnsi="Times New Roman" w:cs="Times New Roman"/>
      <w:sz w:val="24"/>
      <w:szCs w:val="24"/>
      <w:u w:val="single"/>
      <w:lang w:eastAsia="cs-CZ"/>
    </w:rPr>
  </w:style>
  <w:style w:type="paragraph" w:styleId="BodyText">
    <w:name w:val="Body Text"/>
    <w:basedOn w:val="Normal"/>
    <w:link w:val="ZkladntextChar"/>
    <w:uiPriority w:val="99"/>
    <w:rsid w:val="003101F8"/>
    <w:rPr>
      <w:sz w:val="20"/>
      <w:szCs w:val="20"/>
    </w:rPr>
  </w:style>
  <w:style w:type="character" w:customStyle="1" w:styleId="ZkladntextChar">
    <w:name w:val="Základní text Char"/>
    <w:basedOn w:val="DefaultParagraphFont"/>
    <w:link w:val="BodyText"/>
    <w:uiPriority w:val="99"/>
    <w:rsid w:val="003101F8"/>
    <w:rPr>
      <w:rFonts w:ascii="Times New Roman" w:eastAsia="Times New Roman" w:hAnsi="Times New Roman" w:cs="Times New Roman"/>
      <w:sz w:val="20"/>
      <w:szCs w:val="20"/>
      <w:lang w:eastAsia="cs-CZ"/>
    </w:rPr>
  </w:style>
  <w:style w:type="paragraph" w:styleId="FootnoteText">
    <w:name w:val="footnote text"/>
    <w:basedOn w:val="Normal"/>
    <w:link w:val="TextpoznpodarouChar"/>
    <w:rsid w:val="003101F8"/>
    <w:rPr>
      <w:sz w:val="20"/>
      <w:szCs w:val="20"/>
    </w:rPr>
  </w:style>
  <w:style w:type="character" w:customStyle="1" w:styleId="TextpoznpodarouChar">
    <w:name w:val="Text pozn. pod čarou Char"/>
    <w:basedOn w:val="DefaultParagraphFont"/>
    <w:link w:val="FootnoteText"/>
    <w:rsid w:val="003101F8"/>
    <w:rPr>
      <w:rFonts w:ascii="Times New Roman" w:eastAsia="Times New Roman" w:hAnsi="Times New Roman" w:cs="Times New Roman"/>
      <w:sz w:val="20"/>
      <w:szCs w:val="20"/>
      <w:lang w:eastAsia="cs-CZ"/>
    </w:rPr>
  </w:style>
  <w:style w:type="paragraph" w:styleId="Header">
    <w:name w:val="header"/>
    <w:basedOn w:val="Normal"/>
    <w:link w:val="ZhlavChar"/>
    <w:uiPriority w:val="99"/>
    <w:unhideWhenUsed/>
    <w:rsid w:val="003101F8"/>
    <w:pPr>
      <w:tabs>
        <w:tab w:val="center" w:pos="4536"/>
        <w:tab w:val="right" w:pos="9072"/>
      </w:tabs>
    </w:pPr>
  </w:style>
  <w:style w:type="character" w:customStyle="1" w:styleId="ZhlavChar">
    <w:name w:val="Záhlaví Char"/>
    <w:basedOn w:val="DefaultParagraphFont"/>
    <w:link w:val="Header"/>
    <w:uiPriority w:val="99"/>
    <w:rsid w:val="003101F8"/>
    <w:rPr>
      <w:rFonts w:ascii="Times New Roman" w:eastAsia="Times New Roman" w:hAnsi="Times New Roman" w:cs="Times New Roman"/>
      <w:sz w:val="24"/>
      <w:szCs w:val="24"/>
      <w:lang w:eastAsia="cs-CZ"/>
    </w:rPr>
  </w:style>
  <w:style w:type="paragraph" w:styleId="Footer">
    <w:name w:val="footer"/>
    <w:basedOn w:val="Normal"/>
    <w:link w:val="ZpatChar"/>
    <w:uiPriority w:val="99"/>
    <w:unhideWhenUsed/>
    <w:rsid w:val="003101F8"/>
    <w:pPr>
      <w:tabs>
        <w:tab w:val="center" w:pos="4536"/>
        <w:tab w:val="right" w:pos="9072"/>
      </w:tabs>
    </w:pPr>
  </w:style>
  <w:style w:type="character" w:customStyle="1" w:styleId="ZpatChar">
    <w:name w:val="Zápatí Char"/>
    <w:basedOn w:val="DefaultParagraphFont"/>
    <w:link w:val="Footer"/>
    <w:uiPriority w:val="99"/>
    <w:rsid w:val="003101F8"/>
    <w:rPr>
      <w:rFonts w:ascii="Times New Roman" w:eastAsia="Times New Roman" w:hAnsi="Times New Roman" w:cs="Times New Roman"/>
      <w:sz w:val="24"/>
      <w:szCs w:val="24"/>
      <w:lang w:eastAsia="cs-CZ"/>
    </w:rPr>
  </w:style>
  <w:style w:type="paragraph" w:styleId="BalloonText">
    <w:name w:val="Balloon Text"/>
    <w:basedOn w:val="Normal"/>
    <w:link w:val="TextbublinyChar"/>
    <w:uiPriority w:val="99"/>
    <w:semiHidden/>
    <w:unhideWhenUsed/>
    <w:rsid w:val="00C13183"/>
    <w:rPr>
      <w:rFonts w:ascii="Segoe UI" w:hAnsi="Segoe UI" w:cs="Segoe UI"/>
      <w:sz w:val="18"/>
      <w:szCs w:val="18"/>
    </w:rPr>
  </w:style>
  <w:style w:type="character" w:customStyle="1" w:styleId="TextbublinyChar">
    <w:name w:val="Text bubliny Char"/>
    <w:basedOn w:val="DefaultParagraphFont"/>
    <w:link w:val="BalloonText"/>
    <w:uiPriority w:val="99"/>
    <w:semiHidden/>
    <w:rsid w:val="00C13183"/>
    <w:rPr>
      <w:rFonts w:ascii="Segoe UI" w:eastAsia="Times New Roman" w:hAnsi="Segoe UI" w:cs="Segoe UI"/>
      <w:sz w:val="18"/>
      <w:szCs w:val="18"/>
      <w:lang w:eastAsia="cs-CZ"/>
    </w:rPr>
  </w:style>
  <w:style w:type="character" w:styleId="CommentReference">
    <w:name w:val="annotation reference"/>
    <w:basedOn w:val="DefaultParagraphFont"/>
    <w:uiPriority w:val="99"/>
    <w:semiHidden/>
    <w:unhideWhenUsed/>
    <w:rsid w:val="00202822"/>
    <w:rPr>
      <w:sz w:val="16"/>
      <w:szCs w:val="16"/>
    </w:rPr>
  </w:style>
  <w:style w:type="paragraph" w:styleId="CommentText">
    <w:name w:val="annotation text"/>
    <w:basedOn w:val="Normal"/>
    <w:link w:val="TextkomenteChar"/>
    <w:uiPriority w:val="99"/>
    <w:semiHidden/>
    <w:unhideWhenUsed/>
    <w:rsid w:val="00202822"/>
    <w:rPr>
      <w:sz w:val="20"/>
      <w:szCs w:val="20"/>
    </w:rPr>
  </w:style>
  <w:style w:type="character" w:customStyle="1" w:styleId="TextkomenteChar">
    <w:name w:val="Text komentáře Char"/>
    <w:basedOn w:val="DefaultParagraphFont"/>
    <w:link w:val="CommentText"/>
    <w:uiPriority w:val="99"/>
    <w:semiHidden/>
    <w:rsid w:val="00202822"/>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202822"/>
    <w:rPr>
      <w:b/>
      <w:bCs/>
    </w:rPr>
  </w:style>
  <w:style w:type="character" w:customStyle="1" w:styleId="PedmtkomenteChar">
    <w:name w:val="Předmět komentáře Char"/>
    <w:basedOn w:val="TextkomenteChar"/>
    <w:link w:val="CommentSubject"/>
    <w:uiPriority w:val="99"/>
    <w:semiHidden/>
    <w:rsid w:val="00202822"/>
    <w:rPr>
      <w:rFonts w:ascii="Times New Roman" w:eastAsia="Times New Roman" w:hAnsi="Times New Roman" w:cs="Times New Roman"/>
      <w:b/>
      <w:bCs/>
      <w:sz w:val="20"/>
      <w:szCs w:val="20"/>
      <w:lang w:eastAsia="cs-CZ"/>
    </w:rPr>
  </w:style>
  <w:style w:type="paragraph" w:styleId="ListParagraph">
    <w:name w:val="List Paragraph"/>
    <w:basedOn w:val="Normal"/>
    <w:link w:val="OdstavecseseznamemChar"/>
    <w:uiPriority w:val="34"/>
    <w:qFormat/>
    <w:rsid w:val="001602BF"/>
    <w:pPr>
      <w:ind w:left="720"/>
      <w:contextualSpacing/>
    </w:pPr>
  </w:style>
  <w:style w:type="character" w:styleId="FootnoteReference">
    <w:name w:val="footnote reference"/>
    <w:basedOn w:val="DefaultParagraphFont"/>
    <w:uiPriority w:val="99"/>
    <w:semiHidden/>
    <w:unhideWhenUsed/>
    <w:rsid w:val="001602BF"/>
    <w:rPr>
      <w:vertAlign w:val="superscript"/>
    </w:rPr>
  </w:style>
  <w:style w:type="paragraph" w:customStyle="1" w:styleId="Point1">
    <w:name w:val="Point 1"/>
    <w:basedOn w:val="Normal"/>
    <w:rsid w:val="0019625B"/>
    <w:pPr>
      <w:spacing w:before="120" w:after="120"/>
      <w:ind w:left="1417" w:hanging="567"/>
    </w:pPr>
    <w:rPr>
      <w:lang w:eastAsia="en-US"/>
    </w:rPr>
  </w:style>
  <w:style w:type="paragraph" w:styleId="EndnoteText">
    <w:name w:val="endnote text"/>
    <w:basedOn w:val="Normal"/>
    <w:link w:val="TextvysvtlivekChar"/>
    <w:uiPriority w:val="99"/>
    <w:semiHidden/>
    <w:unhideWhenUsed/>
    <w:rsid w:val="007E6C01"/>
    <w:pPr>
      <w:spacing w:line="240" w:lineRule="auto"/>
    </w:pPr>
    <w:rPr>
      <w:sz w:val="20"/>
      <w:szCs w:val="20"/>
    </w:rPr>
  </w:style>
  <w:style w:type="character" w:customStyle="1" w:styleId="TextvysvtlivekChar">
    <w:name w:val="Text vysvětlivek Char"/>
    <w:basedOn w:val="DefaultParagraphFont"/>
    <w:link w:val="EndnoteText"/>
    <w:uiPriority w:val="99"/>
    <w:semiHidden/>
    <w:rsid w:val="007E6C01"/>
    <w:rPr>
      <w:rFonts w:ascii="Times New Roman" w:eastAsia="Times New Roman" w:hAnsi="Times New Roman" w:cs="Times New Roman"/>
      <w:sz w:val="20"/>
      <w:szCs w:val="20"/>
      <w:lang w:eastAsia="cs-CZ"/>
    </w:rPr>
  </w:style>
  <w:style w:type="character" w:styleId="EndnoteReference">
    <w:name w:val="endnote reference"/>
    <w:basedOn w:val="DefaultParagraphFont"/>
    <w:uiPriority w:val="99"/>
    <w:semiHidden/>
    <w:unhideWhenUsed/>
    <w:rsid w:val="007E6C01"/>
    <w:rPr>
      <w:vertAlign w:val="superscript"/>
    </w:rPr>
  </w:style>
  <w:style w:type="character" w:customStyle="1" w:styleId="OdstavecseseznamemChar">
    <w:name w:val="Odstavec se seznamem Char"/>
    <w:basedOn w:val="DefaultParagraphFont"/>
    <w:link w:val="ListParagraph"/>
    <w:uiPriority w:val="34"/>
    <w:locked/>
    <w:rsid w:val="00103ED0"/>
    <w:rPr>
      <w:rFonts w:ascii="Times New Roman" w:eastAsia="Times New Roman" w:hAnsi="Times New Roman" w:cs="Times New Roman"/>
      <w:sz w:val="24"/>
      <w:szCs w:val="24"/>
      <w:lang w:eastAsia="cs-CZ"/>
    </w:rPr>
  </w:style>
  <w:style w:type="character" w:styleId="Hyperlink">
    <w:name w:val="Hyperlink"/>
    <w:basedOn w:val="DefaultParagraphFont"/>
    <w:uiPriority w:val="99"/>
    <w:semiHidden/>
    <w:unhideWhenUsed/>
    <w:rsid w:val="00A03E94"/>
    <w:rPr>
      <w:color w:val="0000FF"/>
      <w:u w:val="single"/>
    </w:rPr>
  </w:style>
  <w:style w:type="character" w:customStyle="1" w:styleId="superscript">
    <w:name w:val="superscript"/>
    <w:basedOn w:val="DefaultParagraphFont"/>
    <w:rsid w:val="00A03E94"/>
  </w:style>
  <w:style w:type="paragraph" w:customStyle="1" w:styleId="norm">
    <w:name w:val="norm"/>
    <w:basedOn w:val="Normal"/>
    <w:rsid w:val="00A03E94"/>
    <w:pPr>
      <w:spacing w:before="100" w:beforeAutospacing="1" w:after="100" w:afterAutospacing="1"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6DA9A-B66E-4A19-B4D0-6D62D05B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474</Words>
  <Characters>2803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CZECHINVEST</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Douchová Karolína</dc:creator>
  <cp:lastModifiedBy>Oravská Alexandra</cp:lastModifiedBy>
  <cp:revision>6</cp:revision>
  <cp:lastPrinted>2024-11-18T10:11:00Z</cp:lastPrinted>
  <dcterms:created xsi:type="dcterms:W3CDTF">2024-11-18T10:11:00Z</dcterms:created>
  <dcterms:modified xsi:type="dcterms:W3CDTF">2024-11-18T11:56:00Z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170.2</vt:lpwstr>
  </property>
  <property fmtid="{D5CDD505-2E9C-101B-9397-08002B2CF9AE}" pid="4" name="Cislo_PostaOdesPisemnostDokumentVerze_PostaOdesPisemnost">
    <vt:lpwstr>VÝTISK Č. ...</vt:lpwstr>
  </property>
  <property fmtid="{D5CDD505-2E9C-101B-9397-08002B2CF9AE}" pid="5" name="CJ">
    <vt:lpwstr>MZP/2025/610/965</vt:lpwstr>
  </property>
  <property fmtid="{D5CDD505-2E9C-101B-9397-08002B2CF9AE}" pid="6" name="CJ_PostaDoruc_PisemnostOdpovedNa_Pisemnost">
    <vt:lpwstr>XXX-XXX-XXX</vt:lpwstr>
  </property>
  <property fmtid="{D5CDD505-2E9C-101B-9397-08002B2CF9AE}" pid="7" name="CJ_Spis_Pisemnost">
    <vt:lpwstr>MZP/2025/610/965</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16.4.2025</vt:lpwstr>
  </property>
  <property fmtid="{D5CDD505-2E9C-101B-9397-08002B2CF9AE}" pid="13" name="DisplayName_CisloObalky_PostaOdes">
    <vt:lpwstr>ČÍSLO OBÁLKY</vt:lpwstr>
  </property>
  <property fmtid="{D5CDD505-2E9C-101B-9397-08002B2CF9AE}" pid="14" name="DisplayName_CJCol">
    <vt:lpwstr>&lt;TABLE&gt;&lt;TR&gt;&lt;TD&gt;Č.j.:&lt;/TD&gt;&lt;TD&gt;MZP/2025/610/965&lt;/TD&gt;&lt;/TR&gt;&lt;TR&gt;&lt;TD&gt;&lt;/TD&gt;&lt;TD&gt;&lt;/TD&gt;&lt;/TR&gt;&lt;/TABLE&gt;</vt:lpwstr>
  </property>
  <property fmtid="{D5CDD505-2E9C-101B-9397-08002B2CF9AE}" pid="15" name="DisplayName_PoziceMa_Pisemnost">
    <vt:lpwstr>Vedoucí 614 - Jan Bačovský</vt:lpwstr>
  </property>
  <property fmtid="{D5CDD505-2E9C-101B-9397-08002B2CF9AE}" pid="16" name="DisplayName_SlozkaStupenUtajeniCollection_Slozka_Pisemnost">
    <vt:lpwstr/>
  </property>
  <property fmtid="{D5CDD505-2E9C-101B-9397-08002B2CF9AE}" pid="17" name="DisplayName_SpisovyUzel_PoziceZodpo_Pisemnost">
    <vt:lpwstr>Odbor adaptace na změnu klimatu</vt:lpwstr>
  </property>
  <property fmtid="{D5CDD505-2E9C-101B-9397-08002B2CF9AE}" pid="18" name="DisplayName_Spis_Pisemnost">
    <vt:lpwstr>žádost S600 o potvrzení metodiky ZPF</vt:lpwstr>
  </property>
  <property fmtid="{D5CDD505-2E9C-101B-9397-08002B2CF9AE}" pid="19" name="DisplayName_UserPoriz_Pisemnost">
    <vt:lpwstr>Ing. Jan Bačovský</vt:lpwstr>
  </property>
  <property fmtid="{D5CDD505-2E9C-101B-9397-08002B2CF9AE}" pid="20" name="DuvodZmeny_SlozkaStupenUtajeniCollection_Slozka_Pisemnost">
    <vt:lpwstr/>
  </property>
  <property fmtid="{D5CDD505-2E9C-101B-9397-08002B2CF9AE}" pid="21" name="EC_Pisemnost">
    <vt:lpwstr>ENV/2025/201325</vt:lpwstr>
  </property>
  <property fmtid="{D5CDD505-2E9C-101B-9397-08002B2CF9AE}" pid="22" name="Key_BarCode_Pisemnost">
    <vt:lpwstr>*B002960035*</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ADRESÁT SU...</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1</vt:lpwstr>
  </property>
  <property fmtid="{D5CDD505-2E9C-101B-9397-08002B2CF9AE}" pid="30" name="PocetListu_Pisemnost">
    <vt:lpwstr>1</vt:lpwstr>
  </property>
  <property fmtid="{D5CDD505-2E9C-101B-9397-08002B2CF9AE}" pid="31" name="PocetPriloh_Pisemnost">
    <vt:lpwstr>POČET PŘÍLOH</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ADRESA SU...</vt:lpwstr>
  </property>
  <property fmtid="{D5CDD505-2E9C-101B-9397-08002B2CF9AE}" pid="35" name="QREC_Pisemnost">
    <vt:lpwstr>ENV/2025/201325</vt:lpwstr>
  </property>
  <property fmtid="{D5CDD505-2E9C-101B-9397-08002B2CF9AE}" pid="36" name="RC">
    <vt:lpwstr/>
  </property>
  <property fmtid="{D5CDD505-2E9C-101B-9397-08002B2CF9AE}" pid="37" name="SkartacniZnakLhuta_PisemnostZnak">
    <vt:lpwstr>A/10</vt:lpwstr>
  </property>
  <property fmtid="{D5CDD505-2E9C-101B-9397-08002B2CF9AE}" pid="38" name="SmlouvaCislo">
    <vt:lpwstr>ČÍSLO SMLOUVY</vt:lpwstr>
  </property>
  <property fmtid="{D5CDD505-2E9C-101B-9397-08002B2CF9AE}" pid="39" name="SZ_Spis_Pisemnost">
    <vt:lpwstr>ZN/MZP/2025/610/130</vt:lpwstr>
  </property>
  <property fmtid="{D5CDD505-2E9C-101B-9397-08002B2CF9AE}" pid="40" name="TEST">
    <vt:lpwstr>testovací pole</vt:lpwstr>
  </property>
  <property fmtid="{D5CDD505-2E9C-101B-9397-08002B2CF9AE}" pid="41" name="TypPrilohy_Pisemnost">
    <vt:lpwstr>TYP PŘÍLOHY</vt:lpwstr>
  </property>
  <property fmtid="{D5CDD505-2E9C-101B-9397-08002B2CF9AE}" pid="42" name="UserName_PisemnostTypZpristupneniInformaciZOSZ_Pisemnost">
    <vt:lpwstr>ZOSZ_UserName</vt:lpwstr>
  </property>
  <property fmtid="{D5CDD505-2E9C-101B-9397-08002B2CF9AE}" pid="43" name="Vec_Pisemnost">
    <vt:lpwstr>žádost S600 o potvrzení metodiky ZPF</vt:lpwstr>
  </property>
  <property fmtid="{D5CDD505-2E9C-101B-9397-08002B2CF9AE}" pid="44" name="Zkratka_SpisovyUzel_PoziceZodpo_Pisemnost">
    <vt:lpwstr>610</vt:lpwstr>
  </property>
</Properties>
</file>